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9E" w:rsidRDefault="0013619E" w:rsidP="0013619E">
      <w:pPr>
        <w:rPr>
          <w:sz w:val="24"/>
          <w:szCs w:val="24"/>
        </w:rPr>
      </w:pPr>
    </w:p>
    <w:p w:rsidR="0013619E" w:rsidRPr="00E77AF8" w:rsidRDefault="00E77AF8" w:rsidP="0013619E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E77AF8">
        <w:rPr>
          <w:rFonts w:ascii="Arial" w:hAnsi="Arial" w:cs="Arial"/>
          <w:bCs/>
          <w:color w:val="009ADB"/>
          <w:spacing w:val="10"/>
          <w:szCs w:val="20"/>
          <w:lang w:val="en-GB"/>
        </w:rPr>
        <w:t>PRESS CONTACT</w:t>
      </w:r>
      <w:r w:rsidR="0013619E" w:rsidRPr="00E77AF8">
        <w:rPr>
          <w:rFonts w:ascii="Arial" w:hAnsi="Arial" w:cs="Arial"/>
          <w:sz w:val="20"/>
          <w:szCs w:val="20"/>
          <w:lang w:val="en-GB"/>
        </w:rPr>
        <w:tab/>
        <w:t xml:space="preserve">            </w:t>
      </w:r>
      <w:r w:rsidR="0013619E" w:rsidRPr="00E77AF8">
        <w:rPr>
          <w:rFonts w:ascii="Arial" w:hAnsi="Arial" w:cs="Arial"/>
          <w:sz w:val="20"/>
          <w:szCs w:val="20"/>
          <w:lang w:val="en-GB"/>
        </w:rPr>
        <w:tab/>
      </w:r>
      <w:r w:rsidR="0013619E" w:rsidRPr="00E77AF8">
        <w:rPr>
          <w:rFonts w:ascii="Arial" w:hAnsi="Arial" w:cs="Arial"/>
          <w:sz w:val="20"/>
          <w:szCs w:val="20"/>
          <w:lang w:val="en-GB"/>
        </w:rPr>
        <w:tab/>
      </w:r>
      <w:r w:rsidR="0013619E" w:rsidRPr="00E77AF8">
        <w:rPr>
          <w:rFonts w:ascii="Arial" w:hAnsi="Arial" w:cs="Arial"/>
          <w:sz w:val="20"/>
          <w:szCs w:val="20"/>
          <w:lang w:val="en-GB"/>
        </w:rPr>
        <w:tab/>
      </w:r>
      <w:r w:rsidR="0013619E" w:rsidRPr="00E77AF8">
        <w:rPr>
          <w:rFonts w:ascii="Arial" w:hAnsi="Arial" w:cs="Arial"/>
          <w:sz w:val="20"/>
          <w:szCs w:val="20"/>
          <w:lang w:val="en-GB"/>
        </w:rPr>
        <w:tab/>
      </w:r>
      <w:r w:rsidR="0013619E" w:rsidRPr="00E77AF8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13619E" w:rsidRPr="00E77AF8">
        <w:rPr>
          <w:rFonts w:ascii="Arial" w:hAnsi="Arial" w:cs="Arial"/>
          <w:sz w:val="20"/>
          <w:szCs w:val="20"/>
          <w:lang w:val="en-GB"/>
        </w:rPr>
        <w:tab/>
      </w:r>
      <w:r w:rsidRPr="00E77AF8">
        <w:rPr>
          <w:rFonts w:ascii="Arial" w:hAnsi="Arial" w:cs="Arial"/>
          <w:bCs/>
          <w:color w:val="009ADB"/>
          <w:spacing w:val="10"/>
          <w:szCs w:val="20"/>
          <w:lang w:val="en-GB"/>
        </w:rPr>
        <w:t>DATE</w:t>
      </w:r>
      <w:r w:rsidR="0013619E" w:rsidRPr="00E77AF8">
        <w:rPr>
          <w:rFonts w:ascii="Arial" w:hAnsi="Arial" w:cs="Arial"/>
          <w:b/>
          <w:bCs/>
          <w:sz w:val="20"/>
          <w:szCs w:val="20"/>
          <w:lang w:val="en-GB"/>
        </w:rPr>
        <w:tab/>
        <w:t xml:space="preserve"> </w:t>
      </w:r>
    </w:p>
    <w:p w:rsidR="0013619E" w:rsidRPr="00E77AF8" w:rsidRDefault="0013619E" w:rsidP="0013619E">
      <w:pPr>
        <w:rPr>
          <w:rFonts w:ascii="Arial" w:hAnsi="Arial" w:cs="Arial"/>
          <w:color w:val="525556"/>
          <w:sz w:val="20"/>
          <w:szCs w:val="20"/>
          <w:lang w:val="en-GB"/>
        </w:rPr>
      </w:pPr>
      <w:r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 xml:space="preserve">RegioData Research GmbH </w:t>
      </w:r>
      <w:r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="00527F62"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>1</w:t>
      </w:r>
      <w:r w:rsidR="0047176F">
        <w:rPr>
          <w:rFonts w:ascii="Arial" w:hAnsi="Arial" w:cs="Arial"/>
          <w:b/>
          <w:color w:val="525556"/>
          <w:sz w:val="20"/>
          <w:szCs w:val="20"/>
          <w:lang w:val="en-GB"/>
        </w:rPr>
        <w:t>5</w:t>
      </w:r>
      <w:bookmarkStart w:id="0" w:name="_GoBack"/>
      <w:bookmarkEnd w:id="0"/>
      <w:r w:rsidR="00E77AF8"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 xml:space="preserve"> June </w:t>
      </w:r>
      <w:r w:rsidRPr="00E77AF8">
        <w:rPr>
          <w:rFonts w:ascii="Arial" w:hAnsi="Arial" w:cs="Arial"/>
          <w:b/>
          <w:color w:val="525556"/>
          <w:sz w:val="20"/>
          <w:szCs w:val="20"/>
          <w:lang w:val="en-GB"/>
        </w:rPr>
        <w:t>2023</w:t>
      </w:r>
      <w:r w:rsidRPr="00E77AF8">
        <w:rPr>
          <w:rFonts w:ascii="Arial" w:hAnsi="Arial" w:cs="Arial"/>
          <w:color w:val="525556"/>
          <w:sz w:val="20"/>
          <w:szCs w:val="20"/>
          <w:lang w:val="en-GB"/>
        </w:rPr>
        <w:br/>
        <w:t>Amela Salihovic, M.A</w:t>
      </w:r>
      <w:proofErr w:type="gramStart"/>
      <w:r w:rsidRPr="00E77AF8">
        <w:rPr>
          <w:rFonts w:ascii="Arial" w:hAnsi="Arial" w:cs="Arial"/>
          <w:color w:val="525556"/>
          <w:sz w:val="20"/>
          <w:szCs w:val="20"/>
          <w:lang w:val="en-GB"/>
        </w:rPr>
        <w:t>.</w:t>
      </w:r>
      <w:proofErr w:type="gramEnd"/>
      <w:r w:rsidRPr="00E77AF8">
        <w:rPr>
          <w:rFonts w:ascii="Arial" w:hAnsi="Arial" w:cs="Arial"/>
          <w:color w:val="525556"/>
          <w:sz w:val="20"/>
          <w:szCs w:val="20"/>
          <w:lang w:val="en-GB"/>
        </w:rPr>
        <w:br/>
      </w:r>
      <w:proofErr w:type="spellStart"/>
      <w:r w:rsidRPr="00E77AF8">
        <w:rPr>
          <w:rFonts w:ascii="Arial" w:hAnsi="Arial" w:cs="Arial"/>
          <w:color w:val="525556"/>
          <w:sz w:val="20"/>
          <w:szCs w:val="20"/>
          <w:lang w:val="en-GB"/>
        </w:rPr>
        <w:t>Theobaldgasse</w:t>
      </w:r>
      <w:proofErr w:type="spellEnd"/>
      <w:r w:rsidRPr="00E77AF8">
        <w:rPr>
          <w:rFonts w:ascii="Arial" w:hAnsi="Arial" w:cs="Arial"/>
          <w:color w:val="525556"/>
          <w:sz w:val="20"/>
          <w:szCs w:val="20"/>
          <w:lang w:val="en-GB"/>
        </w:rPr>
        <w:t xml:space="preserve"> 8 | 1060 </w:t>
      </w:r>
      <w:r w:rsidR="00E77AF8">
        <w:rPr>
          <w:rFonts w:ascii="Arial" w:hAnsi="Arial" w:cs="Arial"/>
          <w:color w:val="525556"/>
          <w:sz w:val="20"/>
          <w:szCs w:val="20"/>
          <w:lang w:val="en-GB"/>
        </w:rPr>
        <w:t>Vienna</w:t>
      </w:r>
      <w:r w:rsidRPr="00E77AF8">
        <w:rPr>
          <w:rFonts w:ascii="Arial" w:hAnsi="Arial" w:cs="Arial"/>
          <w:color w:val="525556"/>
          <w:sz w:val="20"/>
          <w:szCs w:val="20"/>
          <w:lang w:val="en-GB"/>
        </w:rPr>
        <w:br/>
        <w:t>+43 1 585 76 27-50</w:t>
      </w:r>
      <w:r w:rsidRPr="00E77AF8">
        <w:rPr>
          <w:rFonts w:ascii="Arial" w:hAnsi="Arial" w:cs="Arial"/>
          <w:color w:val="525556"/>
          <w:sz w:val="20"/>
          <w:szCs w:val="20"/>
          <w:lang w:val="en-GB"/>
        </w:rPr>
        <w:br/>
      </w:r>
      <w:hyperlink r:id="rId9" w:history="1">
        <w:r w:rsidRPr="00E77AF8">
          <w:rPr>
            <w:rFonts w:ascii="Arial" w:hAnsi="Arial" w:cs="Arial"/>
            <w:color w:val="525556"/>
            <w:sz w:val="20"/>
            <w:szCs w:val="20"/>
            <w:lang w:val="en-GB"/>
          </w:rPr>
          <w:t>a.salihovic@regiodata.eu</w:t>
        </w:r>
      </w:hyperlink>
      <w:r w:rsidRPr="00E77AF8">
        <w:rPr>
          <w:rFonts w:ascii="Arial" w:hAnsi="Arial" w:cs="Arial"/>
          <w:color w:val="525556"/>
          <w:sz w:val="20"/>
          <w:szCs w:val="20"/>
          <w:lang w:val="en-GB"/>
        </w:rPr>
        <w:br/>
        <w:t>www.regiodata.eu</w:t>
      </w:r>
    </w:p>
    <w:p w:rsidR="0013619E" w:rsidRPr="00E77AF8" w:rsidRDefault="0013619E" w:rsidP="0013619E">
      <w:pPr>
        <w:rPr>
          <w:sz w:val="24"/>
          <w:szCs w:val="24"/>
          <w:lang w:val="en-GB"/>
        </w:rPr>
      </w:pPr>
    </w:p>
    <w:p w:rsidR="003406E3" w:rsidRPr="003406E3" w:rsidRDefault="003406E3" w:rsidP="003E56B6">
      <w:pPr>
        <w:spacing w:line="360" w:lineRule="auto"/>
        <w:jc w:val="both"/>
        <w:rPr>
          <w:rFonts w:ascii="Arial" w:hAnsi="Arial" w:cs="Arial"/>
          <w:bCs/>
          <w:color w:val="009ADB"/>
          <w:spacing w:val="10"/>
          <w:sz w:val="24"/>
          <w:szCs w:val="20"/>
          <w:lang w:val="en-GB"/>
        </w:rPr>
      </w:pPr>
      <w:r w:rsidRPr="003406E3">
        <w:rPr>
          <w:rFonts w:ascii="Arial" w:hAnsi="Arial" w:cs="Arial"/>
          <w:bCs/>
          <w:color w:val="009ADB"/>
          <w:spacing w:val="10"/>
          <w:sz w:val="24"/>
          <w:szCs w:val="20"/>
          <w:lang w:val="en-GB"/>
        </w:rPr>
        <w:t xml:space="preserve">ONLINE </w:t>
      </w:r>
      <w:r>
        <w:rPr>
          <w:rFonts w:ascii="Arial" w:hAnsi="Arial" w:cs="Arial"/>
          <w:bCs/>
          <w:color w:val="009ADB"/>
          <w:spacing w:val="10"/>
          <w:sz w:val="24"/>
          <w:szCs w:val="20"/>
          <w:lang w:val="en-GB"/>
        </w:rPr>
        <w:t>RETAIL</w:t>
      </w:r>
      <w:r w:rsidRPr="003406E3">
        <w:rPr>
          <w:rFonts w:ascii="Arial" w:hAnsi="Arial" w:cs="Arial"/>
          <w:bCs/>
          <w:color w:val="009ADB"/>
          <w:spacing w:val="10"/>
          <w:sz w:val="24"/>
          <w:szCs w:val="20"/>
          <w:lang w:val="en-GB"/>
        </w:rPr>
        <w:t xml:space="preserve"> IN AUSTRIA: DECLINING FIGURES FOR THE FIRST TIME - TOP 3 LOSE MARKET SHARE</w:t>
      </w:r>
    </w:p>
    <w:p w:rsidR="00574DF0" w:rsidRDefault="003406E3" w:rsidP="00BC11A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3406E3">
        <w:rPr>
          <w:rFonts w:ascii="Arial" w:hAnsi="Arial" w:cs="Arial"/>
          <w:b/>
          <w:bCs/>
          <w:sz w:val="20"/>
          <w:szCs w:val="20"/>
          <w:lang w:val="en-GB"/>
        </w:rPr>
        <w:t xml:space="preserve">The brand-new edition of the "RegioData Online Retail - Austria" study is out and reveals the results: Austrian consumers currently invest around 11.2 billion euros a year in their online purchases, which equates to around 1,250 euros a year per inhabitant. Although this amount is almost twice as high as it was six years ago, online retail has suffered declines for the first time this year. </w:t>
      </w:r>
      <w:proofErr w:type="spellStart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However</w:t>
      </w:r>
      <w:proofErr w:type="spellEnd"/>
      <w:r w:rsidRPr="003406E3">
        <w:rPr>
          <w:rFonts w:ascii="Arial" w:hAnsi="Arial" w:cs="Arial"/>
          <w:b/>
          <w:bCs/>
          <w:sz w:val="20"/>
          <w:szCs w:val="20"/>
          <w:lang w:val="de-DE"/>
        </w:rPr>
        <w:t xml:space="preserve">, </w:t>
      </w:r>
      <w:proofErr w:type="spellStart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this</w:t>
      </w:r>
      <w:proofErr w:type="spellEnd"/>
      <w:r w:rsidRPr="003406E3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is</w:t>
      </w:r>
      <w:proofErr w:type="spellEnd"/>
      <w:r w:rsidRPr="003406E3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by</w:t>
      </w:r>
      <w:proofErr w:type="spellEnd"/>
      <w:r w:rsidRPr="003406E3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no</w:t>
      </w:r>
      <w:proofErr w:type="spellEnd"/>
      <w:r w:rsidRPr="003406E3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means</w:t>
      </w:r>
      <w:proofErr w:type="spellEnd"/>
      <w:r w:rsidRPr="003406E3">
        <w:rPr>
          <w:rFonts w:ascii="Arial" w:hAnsi="Arial" w:cs="Arial"/>
          <w:b/>
          <w:bCs/>
          <w:sz w:val="20"/>
          <w:szCs w:val="20"/>
          <w:lang w:val="de-DE"/>
        </w:rPr>
        <w:t xml:space="preserve"> a </w:t>
      </w:r>
      <w:proofErr w:type="spellStart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trend</w:t>
      </w:r>
      <w:proofErr w:type="spellEnd"/>
      <w:r w:rsidRPr="003406E3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reversal</w:t>
      </w:r>
      <w:proofErr w:type="spellEnd"/>
      <w:r w:rsidRPr="003406E3">
        <w:rPr>
          <w:rFonts w:ascii="Arial" w:hAnsi="Arial" w:cs="Arial"/>
          <w:b/>
          <w:bCs/>
          <w:sz w:val="20"/>
          <w:szCs w:val="20"/>
          <w:lang w:val="de-DE"/>
        </w:rPr>
        <w:t>!</w:t>
      </w:r>
    </w:p>
    <w:p w:rsidR="003E3DE3" w:rsidRPr="002A12E1" w:rsidRDefault="003E3DE3" w:rsidP="00BC11A2">
      <w:pPr>
        <w:spacing w:line="360" w:lineRule="auto"/>
        <w:jc w:val="both"/>
        <w:rPr>
          <w:rFonts w:ascii="Arial" w:hAnsi="Arial" w:cs="Arial"/>
          <w:sz w:val="2"/>
          <w:szCs w:val="24"/>
        </w:rPr>
      </w:pPr>
    </w:p>
    <w:p w:rsidR="00AA74E2" w:rsidRPr="00574DF0" w:rsidRDefault="00AB0C98" w:rsidP="0013619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B0C98">
        <w:rPr>
          <w:rFonts w:ascii="Arial" w:hAnsi="Arial" w:cs="Arial"/>
          <w:b/>
          <w:bCs/>
          <w:noProof/>
          <w:sz w:val="20"/>
          <w:szCs w:val="20"/>
          <w:lang w:eastAsia="de-AT"/>
        </w:rPr>
        <w:drawing>
          <wp:inline distT="0" distB="0" distL="0" distR="0" wp14:anchorId="603F1E72" wp14:editId="576362A1">
            <wp:extent cx="5760720" cy="3240482"/>
            <wp:effectExtent l="19050" t="19050" r="11430" b="171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A74E2" w:rsidRPr="002A12E1" w:rsidRDefault="00AA74E2" w:rsidP="0013619E">
      <w:pPr>
        <w:spacing w:line="360" w:lineRule="auto"/>
        <w:jc w:val="both"/>
        <w:rPr>
          <w:rFonts w:ascii="Arial" w:hAnsi="Arial" w:cs="Arial"/>
          <w:b/>
          <w:bCs/>
          <w:sz w:val="6"/>
          <w:szCs w:val="20"/>
        </w:rPr>
      </w:pPr>
    </w:p>
    <w:p w:rsidR="008557E9" w:rsidRPr="008557E9" w:rsidRDefault="003406E3" w:rsidP="00FF5308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8557E9">
        <w:rPr>
          <w:rFonts w:ascii="Arial" w:hAnsi="Arial" w:cs="Arial"/>
          <w:bCs/>
          <w:spacing w:val="10"/>
          <w:sz w:val="24"/>
          <w:szCs w:val="20"/>
          <w:lang w:val="en-GB"/>
        </w:rPr>
        <w:t>Temporary catch-up demand in online retailing</w:t>
      </w:r>
    </w:p>
    <w:p w:rsidR="003E3DE3" w:rsidRPr="003E3DE3" w:rsidRDefault="003E3DE3" w:rsidP="003E3DE3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3E3DE3">
        <w:rPr>
          <w:rFonts w:ascii="Arial" w:hAnsi="Arial" w:cs="Arial"/>
          <w:sz w:val="20"/>
          <w:lang w:val="en-GB"/>
        </w:rPr>
        <w:t>Since its inception, online retail has shown significant growth rates, always exceeding the respective inflation rate. In 2022, however, there was a sobering shift: The online share of consumer expend</w:t>
      </w:r>
      <w:r w:rsidRPr="003E3DE3">
        <w:rPr>
          <w:rFonts w:ascii="Arial" w:hAnsi="Arial" w:cs="Arial"/>
          <w:sz w:val="20"/>
          <w:lang w:val="en-GB"/>
        </w:rPr>
        <w:t>i</w:t>
      </w:r>
      <w:r w:rsidRPr="003E3DE3">
        <w:rPr>
          <w:rFonts w:ascii="Arial" w:hAnsi="Arial" w:cs="Arial"/>
          <w:sz w:val="20"/>
          <w:lang w:val="en-GB"/>
        </w:rPr>
        <w:t>tures decreased from 16.5% to 15.0%.</w:t>
      </w:r>
    </w:p>
    <w:p w:rsidR="003E3DE3" w:rsidRPr="003E3DE3" w:rsidRDefault="003E3DE3" w:rsidP="003E3DE3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3E3DE3">
        <w:rPr>
          <w:rFonts w:ascii="Arial" w:hAnsi="Arial" w:cs="Arial"/>
          <w:sz w:val="20"/>
          <w:lang w:val="en-GB"/>
        </w:rPr>
        <w:lastRenderedPageBreak/>
        <w:t>This is, of course, related to the fact that the COVID-19 pandemic had boosted online retail. The growth rates during the pandemic years were significantly higher than the long-term trend.</w:t>
      </w:r>
    </w:p>
    <w:p w:rsidR="003E3DE3" w:rsidRPr="003E3DE3" w:rsidRDefault="003E3DE3" w:rsidP="003E3DE3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3E3DE3">
        <w:rPr>
          <w:rFonts w:ascii="Arial" w:hAnsi="Arial" w:cs="Arial"/>
          <w:sz w:val="20"/>
          <w:lang w:val="en-GB"/>
        </w:rPr>
        <w:t xml:space="preserve">Currently, brick-and-mortar retail is celebrating because there is a catching-up demand, but the current situation is deceptive. In the current year, online retail will resume its steady rise and surpass the pre-pandemic level by 2024. In the medium term, it is expected that, at least excluding groceries, the online share will reach 50% of total consumer expenditures. In some sectors such as books, toys, and electronics, this is already the case in certain </w:t>
      </w:r>
      <w:proofErr w:type="spellStart"/>
      <w:r w:rsidRPr="003E3DE3">
        <w:rPr>
          <w:rFonts w:ascii="Arial" w:hAnsi="Arial" w:cs="Arial"/>
          <w:sz w:val="20"/>
          <w:lang w:val="en-GB"/>
        </w:rPr>
        <w:t>subsegments</w:t>
      </w:r>
      <w:proofErr w:type="spellEnd"/>
      <w:r w:rsidRPr="003E3DE3">
        <w:rPr>
          <w:rFonts w:ascii="Arial" w:hAnsi="Arial" w:cs="Arial"/>
          <w:sz w:val="20"/>
          <w:lang w:val="en-GB"/>
        </w:rPr>
        <w:t>.</w:t>
      </w:r>
    </w:p>
    <w:p w:rsidR="003E3DE3" w:rsidRPr="003E3DE3" w:rsidRDefault="003E3DE3" w:rsidP="003E3DE3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3E3DE3">
        <w:rPr>
          <w:rFonts w:ascii="Arial" w:hAnsi="Arial" w:cs="Arial"/>
          <w:sz w:val="20"/>
          <w:lang w:val="en-GB"/>
        </w:rPr>
        <w:t>(The share of online retail is calculated based on the annual accumulated company revenues in rel</w:t>
      </w:r>
      <w:r w:rsidRPr="003E3DE3">
        <w:rPr>
          <w:rFonts w:ascii="Arial" w:hAnsi="Arial" w:cs="Arial"/>
          <w:sz w:val="20"/>
          <w:lang w:val="en-GB"/>
        </w:rPr>
        <w:t>a</w:t>
      </w:r>
      <w:r w:rsidRPr="003E3DE3">
        <w:rPr>
          <w:rFonts w:ascii="Arial" w:hAnsi="Arial" w:cs="Arial"/>
          <w:sz w:val="20"/>
          <w:lang w:val="en-GB"/>
        </w:rPr>
        <w:t>tion to the total consumer expenditures of private households.)</w:t>
      </w:r>
    </w:p>
    <w:p w:rsidR="00E365CF" w:rsidRPr="003E3DE3" w:rsidRDefault="00E365CF" w:rsidP="00341BCA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8557E9" w:rsidRPr="008557E9" w:rsidRDefault="008557E9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8557E9">
        <w:rPr>
          <w:rFonts w:ascii="Arial" w:hAnsi="Arial" w:cs="Arial"/>
          <w:bCs/>
          <w:spacing w:val="10"/>
          <w:sz w:val="24"/>
          <w:szCs w:val="20"/>
          <w:lang w:val="en-GB"/>
        </w:rPr>
        <w:t>The top 5 remain unchanged at the top</w:t>
      </w:r>
    </w:p>
    <w:p w:rsidR="00711725" w:rsidRDefault="003E3DE3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3E3DE3">
        <w:rPr>
          <w:rFonts w:ascii="Arial" w:hAnsi="Arial" w:cs="Arial"/>
          <w:sz w:val="20"/>
          <w:szCs w:val="24"/>
          <w:lang w:val="en-GB"/>
        </w:rPr>
        <w:t xml:space="preserve">The "Big Five" online providers have maintained their positions in the same order of precedence this year, dominating a quarter of the entire online industry in this country. With a market share of 12%, Amazon (excluding Amazon Marketplace) remains the undisputed number 1 on the web. Added to this is a further 17% for its own marketplace. The Otto Group secures second place with a 5% share of online retail. </w:t>
      </w:r>
      <w:proofErr w:type="spellStart"/>
      <w:r w:rsidRPr="003E3DE3">
        <w:rPr>
          <w:rFonts w:ascii="Arial" w:hAnsi="Arial" w:cs="Arial"/>
          <w:sz w:val="20"/>
          <w:szCs w:val="24"/>
          <w:lang w:val="en-GB"/>
        </w:rPr>
        <w:t>Zalando</w:t>
      </w:r>
      <w:proofErr w:type="spellEnd"/>
      <w:r w:rsidRPr="003E3DE3">
        <w:rPr>
          <w:rFonts w:ascii="Arial" w:hAnsi="Arial" w:cs="Arial"/>
          <w:sz w:val="20"/>
          <w:szCs w:val="24"/>
          <w:lang w:val="en-GB"/>
        </w:rPr>
        <w:t xml:space="preserve"> follows in third place, contributing around 4% of online spending in Austria. IKEA - as the largest multi-channel retailer - takes fourth place with a market share of just over 2%, while </w:t>
      </w:r>
      <w:proofErr w:type="spellStart"/>
      <w:r w:rsidRPr="003E3DE3">
        <w:rPr>
          <w:rFonts w:ascii="Arial" w:hAnsi="Arial" w:cs="Arial"/>
          <w:sz w:val="20"/>
          <w:szCs w:val="24"/>
          <w:lang w:val="en-GB"/>
        </w:rPr>
        <w:t>MediaMarkt</w:t>
      </w:r>
      <w:proofErr w:type="spellEnd"/>
      <w:r w:rsidRPr="003E3DE3">
        <w:rPr>
          <w:rFonts w:ascii="Arial" w:hAnsi="Arial" w:cs="Arial"/>
          <w:sz w:val="20"/>
          <w:szCs w:val="24"/>
          <w:lang w:val="en-GB"/>
        </w:rPr>
        <w:t xml:space="preserve"> takes fifth place at just under 2%. Other companies in the top 10 include Shop-</w:t>
      </w:r>
      <w:proofErr w:type="spellStart"/>
      <w:r w:rsidRPr="003E3DE3">
        <w:rPr>
          <w:rFonts w:ascii="Arial" w:hAnsi="Arial" w:cs="Arial"/>
          <w:sz w:val="20"/>
          <w:szCs w:val="24"/>
          <w:lang w:val="en-GB"/>
        </w:rPr>
        <w:t>Apotheke</w:t>
      </w:r>
      <w:proofErr w:type="spellEnd"/>
      <w:r w:rsidRPr="003E3DE3">
        <w:rPr>
          <w:rFonts w:ascii="Arial" w:hAnsi="Arial" w:cs="Arial"/>
          <w:sz w:val="20"/>
          <w:szCs w:val="24"/>
          <w:lang w:val="en-GB"/>
        </w:rPr>
        <w:t xml:space="preserve"> (1.6%), H&amp;M (1.2%) and Apple (1.0%). </w:t>
      </w:r>
      <w:proofErr w:type="spellStart"/>
      <w:r w:rsidRPr="003E3DE3">
        <w:rPr>
          <w:rFonts w:ascii="Arial" w:hAnsi="Arial" w:cs="Arial"/>
          <w:sz w:val="20"/>
          <w:szCs w:val="24"/>
          <w:lang w:val="en-GB"/>
        </w:rPr>
        <w:t>XXXLutz</w:t>
      </w:r>
      <w:proofErr w:type="spellEnd"/>
      <w:r w:rsidRPr="003E3DE3">
        <w:rPr>
          <w:rFonts w:ascii="Arial" w:hAnsi="Arial" w:cs="Arial"/>
          <w:sz w:val="20"/>
          <w:szCs w:val="24"/>
          <w:lang w:val="en-GB"/>
        </w:rPr>
        <w:t xml:space="preserve"> made it out of the top 10 this year, but Obi gained market share and secured tenth place with just under 1%.</w:t>
      </w:r>
    </w:p>
    <w:p w:rsidR="003E3DE3" w:rsidRPr="003E3DE3" w:rsidRDefault="003E3DE3" w:rsidP="0013619E">
      <w:pPr>
        <w:spacing w:line="360" w:lineRule="auto"/>
        <w:jc w:val="both"/>
        <w:rPr>
          <w:lang w:val="en-GB"/>
        </w:rPr>
      </w:pPr>
    </w:p>
    <w:p w:rsidR="008557E9" w:rsidRPr="008557E9" w:rsidRDefault="008557E9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8557E9">
        <w:rPr>
          <w:rFonts w:ascii="Arial" w:hAnsi="Arial" w:cs="Arial"/>
          <w:bCs/>
          <w:spacing w:val="10"/>
          <w:sz w:val="24"/>
          <w:szCs w:val="20"/>
          <w:lang w:val="en-GB"/>
        </w:rPr>
        <w:t>The market leaders have lost market share</w:t>
      </w:r>
    </w:p>
    <w:p w:rsidR="009B0AD6" w:rsidRPr="003E3DE3" w:rsidRDefault="003E3DE3" w:rsidP="0006157B">
      <w:pPr>
        <w:spacing w:line="360" w:lineRule="auto"/>
        <w:jc w:val="both"/>
        <w:rPr>
          <w:rFonts w:ascii="Segoe UI" w:hAnsi="Segoe UI" w:cs="Segoe UI"/>
          <w:color w:val="374151"/>
          <w:shd w:val="clear" w:color="auto" w:fill="F7F7F8"/>
          <w:lang w:val="en-GB"/>
        </w:rPr>
      </w:pPr>
      <w:r w:rsidRPr="003E3DE3">
        <w:rPr>
          <w:rFonts w:ascii="Arial" w:hAnsi="Arial" w:cs="Arial"/>
          <w:sz w:val="20"/>
          <w:szCs w:val="24"/>
          <w:lang w:val="en-GB"/>
        </w:rPr>
        <w:t xml:space="preserve">While the market's momentum was maintained, the market leaders had to face significant setbacks last year: While IKEA and </w:t>
      </w:r>
      <w:proofErr w:type="spellStart"/>
      <w:r w:rsidRPr="003E3DE3">
        <w:rPr>
          <w:rFonts w:ascii="Arial" w:hAnsi="Arial" w:cs="Arial"/>
          <w:sz w:val="20"/>
          <w:szCs w:val="24"/>
          <w:lang w:val="en-GB"/>
        </w:rPr>
        <w:t>MediaMarkt</w:t>
      </w:r>
      <w:proofErr w:type="spellEnd"/>
      <w:r w:rsidRPr="003E3DE3">
        <w:rPr>
          <w:rFonts w:ascii="Arial" w:hAnsi="Arial" w:cs="Arial"/>
          <w:sz w:val="20"/>
          <w:szCs w:val="24"/>
          <w:lang w:val="en-GB"/>
        </w:rPr>
        <w:t xml:space="preserve"> were able to make slight gains, the top three players (Amazon, </w:t>
      </w:r>
      <w:proofErr w:type="spellStart"/>
      <w:r w:rsidRPr="003E3DE3">
        <w:rPr>
          <w:rFonts w:ascii="Arial" w:hAnsi="Arial" w:cs="Arial"/>
          <w:sz w:val="20"/>
          <w:szCs w:val="24"/>
          <w:lang w:val="en-GB"/>
        </w:rPr>
        <w:t>Zalando</w:t>
      </w:r>
      <w:proofErr w:type="spellEnd"/>
      <w:r w:rsidRPr="003E3DE3">
        <w:rPr>
          <w:rFonts w:ascii="Arial" w:hAnsi="Arial" w:cs="Arial"/>
          <w:sz w:val="20"/>
          <w:szCs w:val="24"/>
          <w:lang w:val="en-GB"/>
        </w:rPr>
        <w:t xml:space="preserve">, Otto Group) not only lost market share but also experienced a decline in nominal revenues. Among them, </w:t>
      </w:r>
      <w:proofErr w:type="spellStart"/>
      <w:r w:rsidRPr="003E3DE3">
        <w:rPr>
          <w:rFonts w:ascii="Arial" w:hAnsi="Arial" w:cs="Arial"/>
          <w:sz w:val="20"/>
          <w:szCs w:val="24"/>
          <w:lang w:val="en-GB"/>
        </w:rPr>
        <w:t>Zalando</w:t>
      </w:r>
      <w:proofErr w:type="spellEnd"/>
      <w:r w:rsidRPr="003E3DE3">
        <w:rPr>
          <w:rFonts w:ascii="Arial" w:hAnsi="Arial" w:cs="Arial"/>
          <w:sz w:val="20"/>
          <w:szCs w:val="24"/>
          <w:lang w:val="en-GB"/>
        </w:rPr>
        <w:t xml:space="preserve"> suffered the biggest setback. The apparel giant's market share has decreased from around 5% in 2021 to approximately 4% </w:t>
      </w:r>
      <w:r w:rsidR="006C0D8A">
        <w:rPr>
          <w:rFonts w:ascii="Arial" w:hAnsi="Arial" w:cs="Arial"/>
          <w:sz w:val="20"/>
          <w:szCs w:val="24"/>
          <w:lang w:val="en-GB"/>
        </w:rPr>
        <w:t>at present.</w:t>
      </w:r>
    </w:p>
    <w:p w:rsidR="00556D4E" w:rsidRPr="003E3DE3" w:rsidRDefault="00556D4E" w:rsidP="0006157B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</w:p>
    <w:p w:rsidR="007B25A8" w:rsidRDefault="007B25A8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</w:p>
    <w:p w:rsidR="007B25A8" w:rsidRDefault="006850B9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6850B9">
        <w:rPr>
          <w:rFonts w:ascii="Arial" w:hAnsi="Arial" w:cs="Arial"/>
          <w:bCs/>
          <w:noProof/>
          <w:spacing w:val="10"/>
          <w:sz w:val="24"/>
          <w:szCs w:val="20"/>
          <w:lang w:eastAsia="de-AT"/>
        </w:rPr>
        <w:lastRenderedPageBreak/>
        <w:drawing>
          <wp:inline distT="0" distB="0" distL="0" distR="0" wp14:anchorId="55942339" wp14:editId="35B71C57">
            <wp:extent cx="5760720" cy="3246606"/>
            <wp:effectExtent l="19050" t="19050" r="11430" b="1143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6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B25A8" w:rsidRDefault="007B25A8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</w:p>
    <w:p w:rsidR="008557E9" w:rsidRPr="008557E9" w:rsidRDefault="008557E9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8557E9">
        <w:rPr>
          <w:rFonts w:ascii="Arial" w:hAnsi="Arial" w:cs="Arial"/>
          <w:bCs/>
          <w:spacing w:val="10"/>
          <w:sz w:val="24"/>
          <w:szCs w:val="20"/>
          <w:lang w:val="en-GB"/>
        </w:rPr>
        <w:t>Online Shares: Austria remains in the upper midfield</w:t>
      </w:r>
    </w:p>
    <w:p w:rsidR="006C0D8A" w:rsidRDefault="006C0D8A" w:rsidP="00FA56CC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6C0D8A">
        <w:rPr>
          <w:rFonts w:ascii="Arial" w:hAnsi="Arial" w:cs="Arial"/>
          <w:sz w:val="20"/>
          <w:szCs w:val="24"/>
          <w:lang w:val="en-GB"/>
        </w:rPr>
        <w:t>While China has managed to increase its online share to an impressive 48% (!) after reaching a peak of 42% in 2021, the online share in Europe still ranges from modest 5% to 27%. The top-ranking cou</w:t>
      </w:r>
      <w:r w:rsidRPr="006C0D8A">
        <w:rPr>
          <w:rFonts w:ascii="Arial" w:hAnsi="Arial" w:cs="Arial"/>
          <w:sz w:val="20"/>
          <w:szCs w:val="24"/>
          <w:lang w:val="en-GB"/>
        </w:rPr>
        <w:t>n</w:t>
      </w:r>
      <w:r w:rsidRPr="006C0D8A">
        <w:rPr>
          <w:rFonts w:ascii="Arial" w:hAnsi="Arial" w:cs="Arial"/>
          <w:sz w:val="20"/>
          <w:szCs w:val="24"/>
          <w:lang w:val="en-GB"/>
        </w:rPr>
        <w:t>try in Europe remains the United Kingdom with a 27% online share. Germany and Denmark, occup</w:t>
      </w:r>
      <w:r w:rsidRPr="006C0D8A">
        <w:rPr>
          <w:rFonts w:ascii="Arial" w:hAnsi="Arial" w:cs="Arial"/>
          <w:sz w:val="20"/>
          <w:szCs w:val="24"/>
          <w:lang w:val="en-GB"/>
        </w:rPr>
        <w:t>y</w:t>
      </w:r>
      <w:r w:rsidRPr="006C0D8A">
        <w:rPr>
          <w:rFonts w:ascii="Arial" w:hAnsi="Arial" w:cs="Arial"/>
          <w:sz w:val="20"/>
          <w:szCs w:val="24"/>
          <w:lang w:val="en-GB"/>
        </w:rPr>
        <w:t>ing the second and third positions in Europe, have experienced slight declines in thei</w:t>
      </w:r>
      <w:r>
        <w:rPr>
          <w:rFonts w:ascii="Arial" w:hAnsi="Arial" w:cs="Arial"/>
          <w:sz w:val="20"/>
          <w:szCs w:val="24"/>
          <w:lang w:val="en-GB"/>
        </w:rPr>
        <w:t xml:space="preserve">r online shares. </w:t>
      </w:r>
      <w:r w:rsidRPr="006C0D8A">
        <w:rPr>
          <w:rFonts w:ascii="Arial" w:hAnsi="Arial" w:cs="Arial"/>
          <w:sz w:val="20"/>
          <w:szCs w:val="24"/>
          <w:lang w:val="en-GB"/>
        </w:rPr>
        <w:t>In Austria, online retail accounted for around 15% of retail-related consumer spending in 2022, closely followed by France, the Czech Republic and the Netherlands, for example.</w:t>
      </w:r>
    </w:p>
    <w:p w:rsidR="006C0D8A" w:rsidRPr="006C0D8A" w:rsidRDefault="006C0D8A" w:rsidP="00FA56CC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</w:p>
    <w:p w:rsidR="008557E9" w:rsidRPr="008557E9" w:rsidRDefault="008557E9" w:rsidP="00FA56CC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8557E9">
        <w:rPr>
          <w:rFonts w:ascii="Arial" w:hAnsi="Arial" w:cs="Arial"/>
          <w:bCs/>
          <w:spacing w:val="10"/>
          <w:sz w:val="24"/>
          <w:szCs w:val="20"/>
          <w:lang w:val="en-GB"/>
        </w:rPr>
        <w:t>Downward trend in the clothing sector</w:t>
      </w:r>
    </w:p>
    <w:p w:rsidR="00865737" w:rsidRDefault="006C0D8A" w:rsidP="00FA56CC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6C0D8A">
        <w:rPr>
          <w:rFonts w:ascii="Arial" w:hAnsi="Arial" w:cs="Arial"/>
          <w:sz w:val="20"/>
          <w:szCs w:val="24"/>
          <w:lang w:val="en-GB"/>
        </w:rPr>
        <w:t>In industries with products primarily catering to medium-term needs such as clothing, shoes, electro</w:t>
      </w:r>
      <w:r w:rsidRPr="006C0D8A">
        <w:rPr>
          <w:rFonts w:ascii="Arial" w:hAnsi="Arial" w:cs="Arial"/>
          <w:sz w:val="20"/>
          <w:szCs w:val="24"/>
          <w:lang w:val="en-GB"/>
        </w:rPr>
        <w:t>n</w:t>
      </w:r>
      <w:r w:rsidRPr="006C0D8A">
        <w:rPr>
          <w:rFonts w:ascii="Arial" w:hAnsi="Arial" w:cs="Arial"/>
          <w:sz w:val="20"/>
          <w:szCs w:val="24"/>
          <w:lang w:val="en-GB"/>
        </w:rPr>
        <w:t>ics, and books, the online share of private consumer expenditures already ranges from 30% to over 40% (measured against residents' consumer expenditures), with the electronics sector still holding the highest position with a 44% online share. However, after the COVID-19 pandemic, a stronger decline in the online share has become apparent, especially in the clothing and shoes categories. The online share in the clothing industry alone has decreased by 9% compared to 2021, while shoes have seen an 8% decline. In the short-term needs category, such as groceries and personal care products (FMCG), the online share is currently still very low. In the long-term needs category, such as furniture and DIY products, the online share is currently around 13% and 17%, respectively, but the highest growth rates are expected in the medium term.</w:t>
      </w:r>
    </w:p>
    <w:p w:rsidR="00574DF0" w:rsidRPr="006C0D8A" w:rsidRDefault="00574DF0" w:rsidP="00FA56CC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574DF0" w:rsidRDefault="008557E9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8557E9">
        <w:rPr>
          <w:rFonts w:ascii="Arial" w:hAnsi="Arial" w:cs="Arial"/>
          <w:bCs/>
          <w:spacing w:val="10"/>
          <w:sz w:val="24"/>
          <w:szCs w:val="20"/>
          <w:lang w:val="en-GB"/>
        </w:rPr>
        <w:lastRenderedPageBreak/>
        <w:t>34 % of expenses remain in the home country</w:t>
      </w:r>
    </w:p>
    <w:p w:rsidR="009C1D72" w:rsidRPr="00574DF0" w:rsidRDefault="006C0D8A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proofErr w:type="gramStart"/>
      <w:r w:rsidRPr="006C0D8A">
        <w:rPr>
          <w:rFonts w:ascii="Arial" w:hAnsi="Arial" w:cs="Arial"/>
          <w:sz w:val="20"/>
          <w:szCs w:val="24"/>
          <w:lang w:val="en-GB"/>
        </w:rPr>
        <w:t>Currently, only 34% of the expenditures made by Austrian consumers benefit domestic companies.</w:t>
      </w:r>
      <w:proofErr w:type="gramEnd"/>
      <w:r w:rsidRPr="006C0D8A">
        <w:rPr>
          <w:rFonts w:ascii="Arial" w:hAnsi="Arial" w:cs="Arial"/>
          <w:sz w:val="20"/>
          <w:szCs w:val="24"/>
          <w:lang w:val="en-GB"/>
        </w:rPr>
        <w:t xml:space="preserve"> Before the pandemic, this figure stood at 36%. As a result, the relevance of domestic online shops is decreasing. The remaining portion goes to foreign companies. The largest domestic online companies are </w:t>
      </w:r>
      <w:proofErr w:type="spellStart"/>
      <w:r w:rsidRPr="006C0D8A">
        <w:rPr>
          <w:rFonts w:ascii="Arial" w:hAnsi="Arial" w:cs="Arial"/>
          <w:sz w:val="20"/>
          <w:szCs w:val="24"/>
          <w:lang w:val="en-GB"/>
        </w:rPr>
        <w:t>Unito</w:t>
      </w:r>
      <w:proofErr w:type="spellEnd"/>
      <w:r w:rsidRPr="006C0D8A">
        <w:rPr>
          <w:rFonts w:ascii="Arial" w:hAnsi="Arial" w:cs="Arial"/>
          <w:sz w:val="20"/>
          <w:szCs w:val="24"/>
          <w:lang w:val="en-GB"/>
        </w:rPr>
        <w:t xml:space="preserve"> (a subsidiary of the German Otto Group) and MS E-Commerce (a subsidiary of the German </w:t>
      </w:r>
      <w:proofErr w:type="spellStart"/>
      <w:r w:rsidRPr="006C0D8A">
        <w:rPr>
          <w:rFonts w:ascii="Arial" w:hAnsi="Arial" w:cs="Arial"/>
          <w:sz w:val="20"/>
          <w:szCs w:val="24"/>
          <w:lang w:val="en-GB"/>
        </w:rPr>
        <w:t>MediaMarkt</w:t>
      </w:r>
      <w:proofErr w:type="spellEnd"/>
      <w:r w:rsidRPr="006C0D8A">
        <w:rPr>
          <w:rFonts w:ascii="Arial" w:hAnsi="Arial" w:cs="Arial"/>
          <w:sz w:val="20"/>
          <w:szCs w:val="24"/>
          <w:lang w:val="en-GB"/>
        </w:rPr>
        <w:t>-Saturn Group).</w:t>
      </w:r>
    </w:p>
    <w:p w:rsidR="006C0D8A" w:rsidRPr="006C0D8A" w:rsidRDefault="006C0D8A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574DF0" w:rsidRDefault="008557E9" w:rsidP="00D16906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D16906">
        <w:rPr>
          <w:rFonts w:ascii="Arial" w:hAnsi="Arial" w:cs="Arial"/>
          <w:bCs/>
          <w:spacing w:val="10"/>
          <w:sz w:val="24"/>
          <w:szCs w:val="20"/>
          <w:lang w:val="en-GB"/>
        </w:rPr>
        <w:t>Observable trends 2022</w:t>
      </w:r>
    </w:p>
    <w:p w:rsidR="00D16906" w:rsidRPr="00574DF0" w:rsidRDefault="00D16906" w:rsidP="00D16906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D16906">
        <w:rPr>
          <w:rFonts w:ascii="Arial" w:hAnsi="Arial" w:cs="Arial"/>
          <w:sz w:val="20"/>
          <w:szCs w:val="24"/>
          <w:lang w:val="en-GB"/>
        </w:rPr>
        <w:t>In 2022, there was a decline in online food delivery. Austrians spent approximately 6% less on their online food orders. One significant external influence is the COVID-19 pandemic. Consumers may have chosen to reduce their online food ordering and instead returned to local shops or supermarkets.</w:t>
      </w:r>
    </w:p>
    <w:p w:rsidR="00730443" w:rsidRPr="00D16906" w:rsidRDefault="00D16906" w:rsidP="00DE5015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D16906">
        <w:rPr>
          <w:rFonts w:ascii="Arial" w:hAnsi="Arial" w:cs="Arial"/>
          <w:sz w:val="20"/>
          <w:szCs w:val="24"/>
          <w:lang w:val="en-GB"/>
        </w:rPr>
        <w:t xml:space="preserve">An interesting development in 2022 was the increased use of online shopping, especially among young target groups, who conducted even more of their purchases online than before. The significant shopping </w:t>
      </w:r>
      <w:proofErr w:type="spellStart"/>
      <w:r w:rsidRPr="00D16906">
        <w:rPr>
          <w:rFonts w:ascii="Arial" w:hAnsi="Arial" w:cs="Arial"/>
          <w:sz w:val="20"/>
          <w:szCs w:val="24"/>
          <w:lang w:val="en-GB"/>
        </w:rPr>
        <w:t>behavior</w:t>
      </w:r>
      <w:proofErr w:type="spellEnd"/>
      <w:r w:rsidRPr="00D16906">
        <w:rPr>
          <w:rFonts w:ascii="Arial" w:hAnsi="Arial" w:cs="Arial"/>
          <w:sz w:val="20"/>
          <w:szCs w:val="24"/>
          <w:lang w:val="en-GB"/>
        </w:rPr>
        <w:t xml:space="preserve"> of younger generations will have a lasting impact on both the brick-and-mortar and online worlds. The trend is clearly visible. In terms of total shoe sales, </w:t>
      </w:r>
      <w:proofErr w:type="spellStart"/>
      <w:r w:rsidRPr="00D16906">
        <w:rPr>
          <w:rFonts w:ascii="Arial" w:hAnsi="Arial" w:cs="Arial"/>
          <w:sz w:val="20"/>
          <w:szCs w:val="24"/>
          <w:lang w:val="en-GB"/>
        </w:rPr>
        <w:t>Zalando</w:t>
      </w:r>
      <w:proofErr w:type="spellEnd"/>
      <w:r w:rsidRPr="00D16906">
        <w:rPr>
          <w:rFonts w:ascii="Arial" w:hAnsi="Arial" w:cs="Arial"/>
          <w:sz w:val="20"/>
          <w:szCs w:val="24"/>
          <w:lang w:val="en-GB"/>
        </w:rPr>
        <w:t>, as a pure online pla</w:t>
      </w:r>
      <w:r w:rsidRPr="00D16906">
        <w:rPr>
          <w:rFonts w:ascii="Arial" w:hAnsi="Arial" w:cs="Arial"/>
          <w:sz w:val="20"/>
          <w:szCs w:val="24"/>
          <w:lang w:val="en-GB"/>
        </w:rPr>
        <w:t>y</w:t>
      </w:r>
      <w:r w:rsidRPr="00D16906">
        <w:rPr>
          <w:rFonts w:ascii="Arial" w:hAnsi="Arial" w:cs="Arial"/>
          <w:sz w:val="20"/>
          <w:szCs w:val="24"/>
          <w:lang w:val="en-GB"/>
        </w:rPr>
        <w:t xml:space="preserve">er, has already become the second-largest shoe retailer in Austria, trailing only </w:t>
      </w:r>
      <w:proofErr w:type="spellStart"/>
      <w:r w:rsidRPr="00D16906">
        <w:rPr>
          <w:rFonts w:ascii="Arial" w:hAnsi="Arial" w:cs="Arial"/>
          <w:sz w:val="20"/>
          <w:szCs w:val="24"/>
          <w:lang w:val="en-GB"/>
        </w:rPr>
        <w:t>Deichmann</w:t>
      </w:r>
      <w:proofErr w:type="spellEnd"/>
      <w:r w:rsidRPr="00D16906">
        <w:rPr>
          <w:rFonts w:ascii="Arial" w:hAnsi="Arial" w:cs="Arial"/>
          <w:sz w:val="20"/>
          <w:szCs w:val="24"/>
          <w:lang w:val="en-GB"/>
        </w:rPr>
        <w:t>.</w:t>
      </w:r>
    </w:p>
    <w:p w:rsidR="00730443" w:rsidRPr="00D16906" w:rsidRDefault="00730443" w:rsidP="0013619E">
      <w:pPr>
        <w:rPr>
          <w:rFonts w:ascii="Arial" w:hAnsi="Arial" w:cs="Arial"/>
          <w:sz w:val="20"/>
          <w:szCs w:val="24"/>
          <w:lang w:val="en-GB"/>
        </w:rPr>
      </w:pPr>
    </w:p>
    <w:p w:rsidR="00776DC9" w:rsidRDefault="00776DC9" w:rsidP="00776DC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DE5015" w:rsidRDefault="00DE5015" w:rsidP="00776DC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DE5015" w:rsidRDefault="00DE5015" w:rsidP="00776DC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DE5015" w:rsidRDefault="00DE5015" w:rsidP="00776DC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DE5015" w:rsidRDefault="00DE5015" w:rsidP="00776DC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DE5015" w:rsidRDefault="00DE5015" w:rsidP="00776DC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DE5015" w:rsidRPr="00A0162D" w:rsidRDefault="00DE5015" w:rsidP="00776DC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776DC9" w:rsidRPr="0091677B" w:rsidRDefault="00776DC9" w:rsidP="00776DC9">
      <w:pPr>
        <w:spacing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FA01AB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DE5015">
        <w:rPr>
          <w:rFonts w:ascii="Arial" w:hAnsi="Arial" w:cs="Arial"/>
          <w:i/>
          <w:sz w:val="20"/>
          <w:szCs w:val="20"/>
          <w:lang w:val="en-GB"/>
        </w:rPr>
        <w:t>updated edition of the study</w:t>
      </w:r>
      <w:r w:rsidRPr="00FA01AB">
        <w:rPr>
          <w:rFonts w:ascii="Arial" w:hAnsi="Arial" w:cs="Arial"/>
          <w:i/>
          <w:sz w:val="20"/>
          <w:szCs w:val="20"/>
          <w:lang w:val="en-GB"/>
        </w:rPr>
        <w:t xml:space="preserve"> "</w:t>
      </w:r>
      <w:r w:rsidR="00DE5015">
        <w:rPr>
          <w:rFonts w:ascii="Arial" w:hAnsi="Arial" w:cs="Arial"/>
          <w:b/>
          <w:i/>
          <w:sz w:val="20"/>
          <w:szCs w:val="20"/>
          <w:lang w:val="en-GB"/>
        </w:rPr>
        <w:t>Online Retail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 – Edition 2023”</w:t>
      </w:r>
      <w:r w:rsidRPr="00FA01AB">
        <w:rPr>
          <w:rFonts w:ascii="Arial" w:hAnsi="Arial" w:cs="Arial"/>
          <w:i/>
          <w:sz w:val="20"/>
          <w:szCs w:val="20"/>
          <w:lang w:val="en-GB"/>
        </w:rPr>
        <w:t xml:space="preserve"> is currently available at RegioData for € </w:t>
      </w:r>
      <w:r w:rsidR="00DE5015">
        <w:rPr>
          <w:rFonts w:ascii="Arial" w:hAnsi="Arial" w:cs="Arial"/>
          <w:i/>
          <w:sz w:val="20"/>
          <w:szCs w:val="20"/>
          <w:lang w:val="en-GB"/>
        </w:rPr>
        <w:t>790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FA01AB">
        <w:rPr>
          <w:rFonts w:ascii="Arial" w:hAnsi="Arial" w:cs="Arial"/>
          <w:i/>
          <w:sz w:val="20"/>
          <w:szCs w:val="20"/>
          <w:lang w:val="en-GB"/>
        </w:rPr>
        <w:t xml:space="preserve">(plus 20% VAT). </w:t>
      </w:r>
      <w:r w:rsidRPr="00AB6371">
        <w:rPr>
          <w:rFonts w:ascii="Arial" w:hAnsi="Arial" w:cs="Arial"/>
          <w:i/>
          <w:sz w:val="20"/>
          <w:szCs w:val="20"/>
          <w:lang w:val="en-GB"/>
        </w:rPr>
        <w:t xml:space="preserve">For more information, visit </w:t>
      </w:r>
      <w:hyperlink r:id="rId12" w:history="1">
        <w:r w:rsidRPr="00AB6371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www.regiodata.eu</w:t>
        </w:r>
      </w:hyperlink>
    </w:p>
    <w:p w:rsidR="00776DC9" w:rsidRPr="00F16748" w:rsidRDefault="00776DC9" w:rsidP="00776DC9">
      <w:pPr>
        <w:jc w:val="center"/>
        <w:rPr>
          <w:rFonts w:ascii="Arial" w:hAnsi="Arial" w:cs="Arial"/>
          <w:sz w:val="20"/>
          <w:szCs w:val="20"/>
        </w:rPr>
      </w:pPr>
      <w:r w:rsidRPr="00AB6371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  <w:r w:rsidRPr="00072F59">
        <w:rPr>
          <w:rFonts w:ascii="Arial" w:hAnsi="Arial" w:cs="Arial"/>
          <w:i/>
          <w:sz w:val="20"/>
          <w:szCs w:val="20"/>
          <w:lang w:val="en-GB"/>
        </w:rPr>
        <w:t xml:space="preserve">, based in Vienna and Munich, is a specialist in regional economic data for Europe. We provide decision-relevant information for the retail, real estate, and finance sectors.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Up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>-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to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-date,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precise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,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and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reliable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>.</w:t>
      </w:r>
    </w:p>
    <w:p w:rsidR="00730443" w:rsidRPr="00D16906" w:rsidRDefault="00730443" w:rsidP="0013619E">
      <w:pPr>
        <w:rPr>
          <w:rFonts w:ascii="Arial" w:hAnsi="Arial" w:cs="Arial"/>
          <w:sz w:val="20"/>
          <w:szCs w:val="24"/>
          <w:lang w:val="en-GB"/>
        </w:rPr>
      </w:pPr>
    </w:p>
    <w:p w:rsidR="00FC2D13" w:rsidRDefault="00FC2D13"/>
    <w:sectPr w:rsidR="00FC2D13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26" w:rsidRDefault="00896826">
      <w:pPr>
        <w:spacing w:after="0" w:line="240" w:lineRule="auto"/>
      </w:pPr>
      <w:r>
        <w:separator/>
      </w:r>
    </w:p>
  </w:endnote>
  <w:endnote w:type="continuationSeparator" w:id="0">
    <w:p w:rsidR="00896826" w:rsidRDefault="0089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26" w:rsidRDefault="00896826">
      <w:pPr>
        <w:spacing w:after="0" w:line="240" w:lineRule="auto"/>
      </w:pPr>
      <w:r>
        <w:separator/>
      </w:r>
    </w:p>
  </w:footnote>
  <w:footnote w:type="continuationSeparator" w:id="0">
    <w:p w:rsidR="00896826" w:rsidRDefault="0089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F0" w:rsidRDefault="00586B22" w:rsidP="0003725A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7AFE9" wp14:editId="75D425E1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Bq4i9v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E1755" wp14:editId="2591F59E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9F0" w:rsidRPr="00BB17FA" w:rsidRDefault="00E77AF8" w:rsidP="0003725A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:rsidR="00CA29F0" w:rsidRPr="00BB17FA" w:rsidRDefault="00E77AF8" w:rsidP="0003725A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B886ACA" wp14:editId="6B75B0A8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CA29F0" w:rsidRDefault="004717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74"/>
    <w:multiLevelType w:val="multilevel"/>
    <w:tmpl w:val="939436E6"/>
    <w:lvl w:ilvl="0">
      <w:start w:val="1"/>
      <w:numFmt w:val="decimal"/>
      <w:pStyle w:val="berschrift1"/>
      <w:isLgl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isLgl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43759E"/>
    <w:multiLevelType w:val="hybridMultilevel"/>
    <w:tmpl w:val="74E61928"/>
    <w:lvl w:ilvl="0" w:tplc="B128CD12">
      <w:start w:val="1"/>
      <w:numFmt w:val="bullet"/>
      <w:lvlText w:val="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color w:val="3366FF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9E"/>
    <w:rsid w:val="00055E15"/>
    <w:rsid w:val="0006157B"/>
    <w:rsid w:val="00087634"/>
    <w:rsid w:val="00096663"/>
    <w:rsid w:val="000A6EE2"/>
    <w:rsid w:val="000B1E28"/>
    <w:rsid w:val="000D2F36"/>
    <w:rsid w:val="000E71EC"/>
    <w:rsid w:val="000F586C"/>
    <w:rsid w:val="00105CF6"/>
    <w:rsid w:val="00132886"/>
    <w:rsid w:val="0013619E"/>
    <w:rsid w:val="00144A5B"/>
    <w:rsid w:val="001635CC"/>
    <w:rsid w:val="001759C0"/>
    <w:rsid w:val="001B61C7"/>
    <w:rsid w:val="001E51C8"/>
    <w:rsid w:val="002239D9"/>
    <w:rsid w:val="002309D5"/>
    <w:rsid w:val="00231E9C"/>
    <w:rsid w:val="00256BEC"/>
    <w:rsid w:val="002670A5"/>
    <w:rsid w:val="002878DE"/>
    <w:rsid w:val="00290E2A"/>
    <w:rsid w:val="002930DF"/>
    <w:rsid w:val="002A12E1"/>
    <w:rsid w:val="002B01C4"/>
    <w:rsid w:val="002D1919"/>
    <w:rsid w:val="002D7EB0"/>
    <w:rsid w:val="002E5046"/>
    <w:rsid w:val="002E5A39"/>
    <w:rsid w:val="00330D7F"/>
    <w:rsid w:val="003406E3"/>
    <w:rsid w:val="00341BCA"/>
    <w:rsid w:val="00341D35"/>
    <w:rsid w:val="00346191"/>
    <w:rsid w:val="003B23D1"/>
    <w:rsid w:val="003B7522"/>
    <w:rsid w:val="003E3DE3"/>
    <w:rsid w:val="003E4BA5"/>
    <w:rsid w:val="003E56B6"/>
    <w:rsid w:val="00431F05"/>
    <w:rsid w:val="00453B5F"/>
    <w:rsid w:val="004549FE"/>
    <w:rsid w:val="0047176F"/>
    <w:rsid w:val="00496E82"/>
    <w:rsid w:val="005051F1"/>
    <w:rsid w:val="00514703"/>
    <w:rsid w:val="00527F62"/>
    <w:rsid w:val="00556D4E"/>
    <w:rsid w:val="00574DF0"/>
    <w:rsid w:val="00586B22"/>
    <w:rsid w:val="005E2E0B"/>
    <w:rsid w:val="005E7676"/>
    <w:rsid w:val="005F328F"/>
    <w:rsid w:val="00613BCB"/>
    <w:rsid w:val="00624D5E"/>
    <w:rsid w:val="00632B9B"/>
    <w:rsid w:val="00651DBE"/>
    <w:rsid w:val="006551B0"/>
    <w:rsid w:val="006850B9"/>
    <w:rsid w:val="00694DE1"/>
    <w:rsid w:val="006C0D8A"/>
    <w:rsid w:val="006D6558"/>
    <w:rsid w:val="00711725"/>
    <w:rsid w:val="00730443"/>
    <w:rsid w:val="00736BAF"/>
    <w:rsid w:val="00752043"/>
    <w:rsid w:val="00776DC9"/>
    <w:rsid w:val="00786D94"/>
    <w:rsid w:val="007A6ABC"/>
    <w:rsid w:val="007B25A8"/>
    <w:rsid w:val="007C24DB"/>
    <w:rsid w:val="007D38C5"/>
    <w:rsid w:val="007F1D4C"/>
    <w:rsid w:val="00800173"/>
    <w:rsid w:val="00804479"/>
    <w:rsid w:val="00846932"/>
    <w:rsid w:val="008557E9"/>
    <w:rsid w:val="00865737"/>
    <w:rsid w:val="0088132C"/>
    <w:rsid w:val="00896826"/>
    <w:rsid w:val="008F4F1B"/>
    <w:rsid w:val="00917BB6"/>
    <w:rsid w:val="009B0AD6"/>
    <w:rsid w:val="009C1D72"/>
    <w:rsid w:val="009C4C57"/>
    <w:rsid w:val="00A006E7"/>
    <w:rsid w:val="00A14FE7"/>
    <w:rsid w:val="00A23924"/>
    <w:rsid w:val="00A446C7"/>
    <w:rsid w:val="00A97241"/>
    <w:rsid w:val="00AA74E2"/>
    <w:rsid w:val="00AB0C98"/>
    <w:rsid w:val="00AC7B70"/>
    <w:rsid w:val="00AD6071"/>
    <w:rsid w:val="00AF39E0"/>
    <w:rsid w:val="00B16A27"/>
    <w:rsid w:val="00B326E9"/>
    <w:rsid w:val="00B40F36"/>
    <w:rsid w:val="00B6078A"/>
    <w:rsid w:val="00B62D4C"/>
    <w:rsid w:val="00B709DD"/>
    <w:rsid w:val="00B94632"/>
    <w:rsid w:val="00B95909"/>
    <w:rsid w:val="00BC11A2"/>
    <w:rsid w:val="00C20FAB"/>
    <w:rsid w:val="00C22A6A"/>
    <w:rsid w:val="00C240CF"/>
    <w:rsid w:val="00C25CBC"/>
    <w:rsid w:val="00C356B0"/>
    <w:rsid w:val="00C37992"/>
    <w:rsid w:val="00C4195E"/>
    <w:rsid w:val="00C62530"/>
    <w:rsid w:val="00C9094A"/>
    <w:rsid w:val="00C96D34"/>
    <w:rsid w:val="00CE1FE1"/>
    <w:rsid w:val="00D0670A"/>
    <w:rsid w:val="00D068DD"/>
    <w:rsid w:val="00D16906"/>
    <w:rsid w:val="00D524BB"/>
    <w:rsid w:val="00D57657"/>
    <w:rsid w:val="00D83684"/>
    <w:rsid w:val="00D93407"/>
    <w:rsid w:val="00DB190B"/>
    <w:rsid w:val="00DE5015"/>
    <w:rsid w:val="00E20B9E"/>
    <w:rsid w:val="00E365CF"/>
    <w:rsid w:val="00E472AF"/>
    <w:rsid w:val="00E636C0"/>
    <w:rsid w:val="00E74DFA"/>
    <w:rsid w:val="00E77AF8"/>
    <w:rsid w:val="00E83900"/>
    <w:rsid w:val="00E9295E"/>
    <w:rsid w:val="00EC1403"/>
    <w:rsid w:val="00EE0198"/>
    <w:rsid w:val="00EF517B"/>
    <w:rsid w:val="00F45A04"/>
    <w:rsid w:val="00F9486D"/>
    <w:rsid w:val="00FA3CD8"/>
    <w:rsid w:val="00FA56CC"/>
    <w:rsid w:val="00FB32AE"/>
    <w:rsid w:val="00FC2D13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19E"/>
  </w:style>
  <w:style w:type="paragraph" w:styleId="berschrift1">
    <w:name w:val="heading 1"/>
    <w:basedOn w:val="Standard"/>
    <w:next w:val="Standard"/>
    <w:link w:val="berschrift1Zchn"/>
    <w:qFormat/>
    <w:rsid w:val="00A97241"/>
    <w:pPr>
      <w:keepNext/>
      <w:numPr>
        <w:numId w:val="1"/>
      </w:numPr>
      <w:spacing w:before="360" w:after="0" w:line="336" w:lineRule="auto"/>
      <w:jc w:val="both"/>
      <w:outlineLvl w:val="0"/>
    </w:pPr>
    <w:rPr>
      <w:rFonts w:ascii="Tahoma" w:eastAsia="Times New Roman" w:hAnsi="Tahoma" w:cs="Times New Roman"/>
      <w:b/>
      <w:snapToGrid w:val="0"/>
      <w:color w:val="800000"/>
      <w:sz w:val="26"/>
      <w:szCs w:val="20"/>
      <w:lang w:val="de-DE" w:eastAsia="de-AT"/>
    </w:rPr>
  </w:style>
  <w:style w:type="paragraph" w:styleId="berschrift2">
    <w:name w:val="heading 2"/>
    <w:basedOn w:val="Standard"/>
    <w:next w:val="Standard"/>
    <w:link w:val="berschrift2Zchn"/>
    <w:qFormat/>
    <w:rsid w:val="00A97241"/>
    <w:pPr>
      <w:keepNext/>
      <w:numPr>
        <w:ilvl w:val="1"/>
        <w:numId w:val="1"/>
      </w:numPr>
      <w:spacing w:before="360" w:after="0" w:line="336" w:lineRule="auto"/>
      <w:jc w:val="both"/>
      <w:outlineLvl w:val="1"/>
    </w:pPr>
    <w:rPr>
      <w:rFonts w:ascii="Tahoma" w:eastAsia="Times New Roman" w:hAnsi="Tahoma" w:cs="Times New Roman"/>
      <w:b/>
      <w:snapToGrid w:val="0"/>
      <w:color w:val="000000"/>
      <w:sz w:val="21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19E"/>
  </w:style>
  <w:style w:type="paragraph" w:styleId="Textkrper">
    <w:name w:val="Body Text"/>
    <w:basedOn w:val="Standard"/>
    <w:link w:val="TextkrperZchn"/>
    <w:semiHidden/>
    <w:rsid w:val="0013619E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3619E"/>
    <w:rPr>
      <w:rFonts w:ascii="Tahoma" w:eastAsia="Times New Roman" w:hAnsi="Tahoma" w:cs="Times New Roman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9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97241"/>
    <w:rPr>
      <w:rFonts w:ascii="Tahoma" w:eastAsia="Times New Roman" w:hAnsi="Tahoma" w:cs="Times New Roman"/>
      <w:b/>
      <w:snapToGrid w:val="0"/>
      <w:color w:val="800000"/>
      <w:sz w:val="26"/>
      <w:szCs w:val="20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rsid w:val="00A97241"/>
    <w:rPr>
      <w:rFonts w:ascii="Tahoma" w:eastAsia="Times New Roman" w:hAnsi="Tahoma" w:cs="Times New Roman"/>
      <w:b/>
      <w:snapToGrid w:val="0"/>
      <w:color w:val="000000"/>
      <w:sz w:val="21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D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D94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B40F36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D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D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1DBE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E7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7AF8"/>
  </w:style>
  <w:style w:type="character" w:styleId="Hyperlink">
    <w:name w:val="Hyperlink"/>
    <w:basedOn w:val="Absatz-Standardschriftart"/>
    <w:uiPriority w:val="99"/>
    <w:unhideWhenUsed/>
    <w:rsid w:val="00776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19E"/>
  </w:style>
  <w:style w:type="paragraph" w:styleId="berschrift1">
    <w:name w:val="heading 1"/>
    <w:basedOn w:val="Standard"/>
    <w:next w:val="Standard"/>
    <w:link w:val="berschrift1Zchn"/>
    <w:qFormat/>
    <w:rsid w:val="00A97241"/>
    <w:pPr>
      <w:keepNext/>
      <w:numPr>
        <w:numId w:val="1"/>
      </w:numPr>
      <w:spacing w:before="360" w:after="0" w:line="336" w:lineRule="auto"/>
      <w:jc w:val="both"/>
      <w:outlineLvl w:val="0"/>
    </w:pPr>
    <w:rPr>
      <w:rFonts w:ascii="Tahoma" w:eastAsia="Times New Roman" w:hAnsi="Tahoma" w:cs="Times New Roman"/>
      <w:b/>
      <w:snapToGrid w:val="0"/>
      <w:color w:val="800000"/>
      <w:sz w:val="26"/>
      <w:szCs w:val="20"/>
      <w:lang w:val="de-DE" w:eastAsia="de-AT"/>
    </w:rPr>
  </w:style>
  <w:style w:type="paragraph" w:styleId="berschrift2">
    <w:name w:val="heading 2"/>
    <w:basedOn w:val="Standard"/>
    <w:next w:val="Standard"/>
    <w:link w:val="berschrift2Zchn"/>
    <w:qFormat/>
    <w:rsid w:val="00A97241"/>
    <w:pPr>
      <w:keepNext/>
      <w:numPr>
        <w:ilvl w:val="1"/>
        <w:numId w:val="1"/>
      </w:numPr>
      <w:spacing w:before="360" w:after="0" w:line="336" w:lineRule="auto"/>
      <w:jc w:val="both"/>
      <w:outlineLvl w:val="1"/>
    </w:pPr>
    <w:rPr>
      <w:rFonts w:ascii="Tahoma" w:eastAsia="Times New Roman" w:hAnsi="Tahoma" w:cs="Times New Roman"/>
      <w:b/>
      <w:snapToGrid w:val="0"/>
      <w:color w:val="000000"/>
      <w:sz w:val="21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19E"/>
  </w:style>
  <w:style w:type="paragraph" w:styleId="Textkrper">
    <w:name w:val="Body Text"/>
    <w:basedOn w:val="Standard"/>
    <w:link w:val="TextkrperZchn"/>
    <w:semiHidden/>
    <w:rsid w:val="0013619E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3619E"/>
    <w:rPr>
      <w:rFonts w:ascii="Tahoma" w:eastAsia="Times New Roman" w:hAnsi="Tahoma" w:cs="Times New Roman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9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97241"/>
    <w:rPr>
      <w:rFonts w:ascii="Tahoma" w:eastAsia="Times New Roman" w:hAnsi="Tahoma" w:cs="Times New Roman"/>
      <w:b/>
      <w:snapToGrid w:val="0"/>
      <w:color w:val="800000"/>
      <w:sz w:val="26"/>
      <w:szCs w:val="20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rsid w:val="00A97241"/>
    <w:rPr>
      <w:rFonts w:ascii="Tahoma" w:eastAsia="Times New Roman" w:hAnsi="Tahoma" w:cs="Times New Roman"/>
      <w:b/>
      <w:snapToGrid w:val="0"/>
      <w:color w:val="000000"/>
      <w:sz w:val="21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D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D94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B40F36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D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D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1DBE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E7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7AF8"/>
  </w:style>
  <w:style w:type="character" w:styleId="Hyperlink">
    <w:name w:val="Hyperlink"/>
    <w:basedOn w:val="Absatz-Standardschriftart"/>
    <w:uiPriority w:val="99"/>
    <w:unhideWhenUsed/>
    <w:rsid w:val="00776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giodat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.salihovic@regiodat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71E0-7B3C-4A2F-94D3-E795677A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22</cp:revision>
  <dcterms:created xsi:type="dcterms:W3CDTF">2023-06-14T12:49:00Z</dcterms:created>
  <dcterms:modified xsi:type="dcterms:W3CDTF">2023-06-16T09:11:00Z</dcterms:modified>
</cp:coreProperties>
</file>