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6D6ED" w14:textId="77777777" w:rsidR="0003725A" w:rsidRDefault="0003725A" w:rsidP="003C03ED">
      <w:pPr>
        <w:pStyle w:val="berschrift1"/>
      </w:pPr>
    </w:p>
    <w:p w14:paraId="09700922" w14:textId="1985CFBC" w:rsidR="0003725A" w:rsidRPr="00156F82" w:rsidRDefault="00B167EC" w:rsidP="0003725A">
      <w:pPr>
        <w:rPr>
          <w:rFonts w:ascii="Arial" w:hAnsi="Arial" w:cs="Arial"/>
          <w:b/>
          <w:bCs/>
          <w:sz w:val="20"/>
          <w:szCs w:val="20"/>
          <w:lang w:val="en-GB"/>
        </w:rPr>
      </w:pPr>
      <w:r>
        <w:rPr>
          <w:rFonts w:ascii="Arial" w:hAnsi="Arial" w:cs="Arial"/>
          <w:bCs/>
          <w:color w:val="009ADB"/>
          <w:spacing w:val="10"/>
          <w:szCs w:val="20"/>
          <w:lang w:val="en-GB"/>
        </w:rPr>
        <w:t>PRESS CONTACT</w:t>
      </w:r>
      <w:r w:rsidR="0003725A" w:rsidRPr="00156F82">
        <w:rPr>
          <w:rFonts w:ascii="Arial" w:hAnsi="Arial" w:cs="Arial"/>
          <w:sz w:val="20"/>
          <w:szCs w:val="20"/>
          <w:lang w:val="en-GB"/>
        </w:rPr>
        <w:tab/>
        <w:t xml:space="preserve">            </w:t>
      </w:r>
      <w:r w:rsidR="0003725A" w:rsidRPr="00156F82">
        <w:rPr>
          <w:rFonts w:ascii="Arial" w:hAnsi="Arial" w:cs="Arial"/>
          <w:sz w:val="20"/>
          <w:szCs w:val="20"/>
          <w:lang w:val="en-GB"/>
        </w:rPr>
        <w:tab/>
      </w:r>
      <w:r w:rsidR="0003725A" w:rsidRPr="00156F82">
        <w:rPr>
          <w:rFonts w:ascii="Arial" w:hAnsi="Arial" w:cs="Arial"/>
          <w:sz w:val="20"/>
          <w:szCs w:val="20"/>
          <w:lang w:val="en-GB"/>
        </w:rPr>
        <w:tab/>
      </w:r>
      <w:r w:rsidR="0003725A" w:rsidRPr="00156F82">
        <w:rPr>
          <w:rFonts w:ascii="Arial" w:hAnsi="Arial" w:cs="Arial"/>
          <w:sz w:val="20"/>
          <w:szCs w:val="20"/>
          <w:lang w:val="en-GB"/>
        </w:rPr>
        <w:tab/>
      </w:r>
      <w:r w:rsidR="0003725A" w:rsidRPr="00156F82">
        <w:rPr>
          <w:rFonts w:ascii="Arial" w:hAnsi="Arial" w:cs="Arial"/>
          <w:sz w:val="20"/>
          <w:szCs w:val="20"/>
          <w:lang w:val="en-GB"/>
        </w:rPr>
        <w:tab/>
      </w:r>
      <w:r w:rsidR="0003725A" w:rsidRPr="00156F82">
        <w:rPr>
          <w:rFonts w:ascii="Arial" w:hAnsi="Arial" w:cs="Arial"/>
          <w:sz w:val="20"/>
          <w:szCs w:val="20"/>
          <w:lang w:val="en-GB"/>
        </w:rPr>
        <w:tab/>
        <w:t xml:space="preserve"> </w:t>
      </w:r>
      <w:r w:rsidR="0003725A" w:rsidRPr="00156F82">
        <w:rPr>
          <w:rFonts w:ascii="Arial" w:hAnsi="Arial" w:cs="Arial"/>
          <w:sz w:val="20"/>
          <w:szCs w:val="20"/>
          <w:lang w:val="en-GB"/>
        </w:rPr>
        <w:tab/>
      </w:r>
      <w:r w:rsidR="001920CC" w:rsidRPr="00156F82">
        <w:rPr>
          <w:rFonts w:ascii="Arial" w:hAnsi="Arial" w:cs="Arial"/>
          <w:bCs/>
          <w:color w:val="009ADB"/>
          <w:spacing w:val="10"/>
          <w:szCs w:val="20"/>
          <w:lang w:val="en-GB"/>
        </w:rPr>
        <w:t>DATE</w:t>
      </w:r>
      <w:r w:rsidR="0003725A" w:rsidRPr="00156F82">
        <w:rPr>
          <w:rFonts w:ascii="Arial" w:hAnsi="Arial" w:cs="Arial"/>
          <w:b/>
          <w:bCs/>
          <w:sz w:val="20"/>
          <w:szCs w:val="20"/>
          <w:lang w:val="en-GB"/>
        </w:rPr>
        <w:tab/>
        <w:t xml:space="preserve"> </w:t>
      </w:r>
    </w:p>
    <w:p w14:paraId="2A1B1852" w14:textId="25006CBE" w:rsidR="0003725A" w:rsidRPr="00156F82" w:rsidRDefault="0003725A" w:rsidP="0003725A">
      <w:pPr>
        <w:rPr>
          <w:rFonts w:ascii="Arial" w:hAnsi="Arial" w:cs="Arial"/>
          <w:color w:val="525556"/>
          <w:sz w:val="20"/>
          <w:szCs w:val="20"/>
          <w:lang w:val="en-GB"/>
        </w:rPr>
      </w:pPr>
      <w:r w:rsidRPr="00156F82">
        <w:rPr>
          <w:rFonts w:ascii="Arial" w:hAnsi="Arial" w:cs="Arial"/>
          <w:b/>
          <w:color w:val="525556"/>
          <w:sz w:val="20"/>
          <w:szCs w:val="20"/>
          <w:lang w:val="en-GB"/>
        </w:rPr>
        <w:t xml:space="preserve">RegioData Research GmbH </w:t>
      </w:r>
      <w:r w:rsidRPr="00156F82">
        <w:rPr>
          <w:rFonts w:ascii="Arial" w:hAnsi="Arial" w:cs="Arial"/>
          <w:b/>
          <w:color w:val="525556"/>
          <w:sz w:val="20"/>
          <w:szCs w:val="20"/>
          <w:lang w:val="en-GB"/>
        </w:rPr>
        <w:tab/>
      </w:r>
      <w:r w:rsidRPr="00156F82">
        <w:rPr>
          <w:rFonts w:ascii="Arial" w:hAnsi="Arial" w:cs="Arial"/>
          <w:b/>
          <w:color w:val="525556"/>
          <w:sz w:val="20"/>
          <w:szCs w:val="20"/>
          <w:lang w:val="en-GB"/>
        </w:rPr>
        <w:tab/>
      </w:r>
      <w:r w:rsidRPr="00156F82">
        <w:rPr>
          <w:rFonts w:ascii="Arial" w:hAnsi="Arial" w:cs="Arial"/>
          <w:b/>
          <w:color w:val="525556"/>
          <w:sz w:val="20"/>
          <w:szCs w:val="20"/>
          <w:lang w:val="en-GB"/>
        </w:rPr>
        <w:tab/>
      </w:r>
      <w:r w:rsidRPr="00156F82">
        <w:rPr>
          <w:rFonts w:ascii="Arial" w:hAnsi="Arial" w:cs="Arial"/>
          <w:b/>
          <w:color w:val="525556"/>
          <w:sz w:val="20"/>
          <w:szCs w:val="20"/>
          <w:lang w:val="en-GB"/>
        </w:rPr>
        <w:tab/>
      </w:r>
      <w:r w:rsidRPr="00156F82">
        <w:rPr>
          <w:rFonts w:ascii="Arial" w:hAnsi="Arial" w:cs="Arial"/>
          <w:b/>
          <w:color w:val="525556"/>
          <w:sz w:val="20"/>
          <w:szCs w:val="20"/>
          <w:lang w:val="en-GB"/>
        </w:rPr>
        <w:tab/>
      </w:r>
      <w:r w:rsidRPr="00156F82">
        <w:rPr>
          <w:rFonts w:ascii="Arial" w:hAnsi="Arial" w:cs="Arial"/>
          <w:b/>
          <w:color w:val="525556"/>
          <w:sz w:val="20"/>
          <w:szCs w:val="20"/>
          <w:lang w:val="en-GB"/>
        </w:rPr>
        <w:tab/>
      </w:r>
      <w:r w:rsidR="009066DF" w:rsidRPr="00156F82">
        <w:rPr>
          <w:rFonts w:ascii="Arial" w:hAnsi="Arial" w:cs="Arial"/>
          <w:b/>
          <w:color w:val="525556"/>
          <w:sz w:val="20"/>
          <w:szCs w:val="20"/>
          <w:lang w:val="en-GB"/>
        </w:rPr>
        <w:t>0</w:t>
      </w:r>
      <w:r w:rsidR="00357B8D" w:rsidRPr="00156F82">
        <w:rPr>
          <w:rFonts w:ascii="Arial" w:hAnsi="Arial" w:cs="Arial"/>
          <w:b/>
          <w:color w:val="525556"/>
          <w:sz w:val="20"/>
          <w:szCs w:val="20"/>
          <w:lang w:val="en-GB"/>
        </w:rPr>
        <w:t>8</w:t>
      </w:r>
      <w:r w:rsidR="001920CC" w:rsidRPr="00156F82">
        <w:rPr>
          <w:rFonts w:ascii="Arial" w:hAnsi="Arial" w:cs="Arial"/>
          <w:b/>
          <w:color w:val="525556"/>
          <w:sz w:val="20"/>
          <w:szCs w:val="20"/>
          <w:lang w:val="en-GB"/>
        </w:rPr>
        <w:t xml:space="preserve"> </w:t>
      </w:r>
      <w:r w:rsidR="009066DF" w:rsidRPr="00156F82">
        <w:rPr>
          <w:rFonts w:ascii="Arial" w:hAnsi="Arial" w:cs="Arial"/>
          <w:b/>
          <w:color w:val="525556"/>
          <w:sz w:val="20"/>
          <w:szCs w:val="20"/>
          <w:lang w:val="en-GB"/>
        </w:rPr>
        <w:t xml:space="preserve">November </w:t>
      </w:r>
      <w:r w:rsidR="002C1B70" w:rsidRPr="00156F82">
        <w:rPr>
          <w:rFonts w:ascii="Arial" w:hAnsi="Arial" w:cs="Arial"/>
          <w:b/>
          <w:color w:val="525556"/>
          <w:sz w:val="20"/>
          <w:szCs w:val="20"/>
          <w:lang w:val="en-GB"/>
        </w:rPr>
        <w:t>2023</w:t>
      </w:r>
      <w:r w:rsidRPr="00156F82">
        <w:rPr>
          <w:rFonts w:ascii="Arial" w:hAnsi="Arial" w:cs="Arial"/>
          <w:color w:val="525556"/>
          <w:sz w:val="20"/>
          <w:szCs w:val="20"/>
          <w:lang w:val="en-GB"/>
        </w:rPr>
        <w:br/>
        <w:t>Amela Salihovic, M.A</w:t>
      </w:r>
      <w:proofErr w:type="gramStart"/>
      <w:r w:rsidRPr="00156F82">
        <w:rPr>
          <w:rFonts w:ascii="Arial" w:hAnsi="Arial" w:cs="Arial"/>
          <w:color w:val="525556"/>
          <w:sz w:val="20"/>
          <w:szCs w:val="20"/>
          <w:lang w:val="en-GB"/>
        </w:rPr>
        <w:t>.</w:t>
      </w:r>
      <w:proofErr w:type="gramEnd"/>
      <w:r w:rsidRPr="00156F82">
        <w:rPr>
          <w:rFonts w:ascii="Arial" w:hAnsi="Arial" w:cs="Arial"/>
          <w:color w:val="525556"/>
          <w:sz w:val="20"/>
          <w:szCs w:val="20"/>
          <w:lang w:val="en-GB"/>
        </w:rPr>
        <w:br/>
      </w:r>
      <w:proofErr w:type="spellStart"/>
      <w:r w:rsidRPr="00156F82">
        <w:rPr>
          <w:rFonts w:ascii="Arial" w:hAnsi="Arial" w:cs="Arial"/>
          <w:color w:val="525556"/>
          <w:sz w:val="20"/>
          <w:szCs w:val="20"/>
          <w:lang w:val="en-GB"/>
        </w:rPr>
        <w:t>Theobaldgasse</w:t>
      </w:r>
      <w:proofErr w:type="spellEnd"/>
      <w:r w:rsidRPr="00156F82">
        <w:rPr>
          <w:rFonts w:ascii="Arial" w:hAnsi="Arial" w:cs="Arial"/>
          <w:color w:val="525556"/>
          <w:sz w:val="20"/>
          <w:szCs w:val="20"/>
          <w:lang w:val="en-GB"/>
        </w:rPr>
        <w:t xml:space="preserve"> 8 | 1060 </w:t>
      </w:r>
      <w:r w:rsidR="001920CC" w:rsidRPr="00156F82">
        <w:rPr>
          <w:rFonts w:ascii="Arial" w:hAnsi="Arial" w:cs="Arial"/>
          <w:color w:val="525556"/>
          <w:sz w:val="20"/>
          <w:szCs w:val="20"/>
          <w:lang w:val="en-GB"/>
        </w:rPr>
        <w:t>Vienna</w:t>
      </w:r>
      <w:r w:rsidRPr="00156F82">
        <w:rPr>
          <w:rFonts w:ascii="Arial" w:hAnsi="Arial" w:cs="Arial"/>
          <w:color w:val="525556"/>
          <w:sz w:val="20"/>
          <w:szCs w:val="20"/>
          <w:lang w:val="en-GB"/>
        </w:rPr>
        <w:br/>
        <w:t>+43 1 585 76 27-50</w:t>
      </w:r>
      <w:r w:rsidRPr="00156F82">
        <w:rPr>
          <w:rFonts w:ascii="Arial" w:hAnsi="Arial" w:cs="Arial"/>
          <w:color w:val="525556"/>
          <w:sz w:val="20"/>
          <w:szCs w:val="20"/>
          <w:lang w:val="en-GB"/>
        </w:rPr>
        <w:br/>
      </w:r>
      <w:hyperlink r:id="rId8" w:history="1">
        <w:r w:rsidRPr="00156F82">
          <w:rPr>
            <w:rFonts w:ascii="Arial" w:hAnsi="Arial" w:cs="Arial"/>
            <w:color w:val="525556"/>
            <w:sz w:val="20"/>
            <w:szCs w:val="20"/>
            <w:lang w:val="en-GB"/>
          </w:rPr>
          <w:t>a.salihovic@regiodata.eu</w:t>
        </w:r>
      </w:hyperlink>
      <w:r w:rsidRPr="00156F82">
        <w:rPr>
          <w:rFonts w:ascii="Arial" w:hAnsi="Arial" w:cs="Arial"/>
          <w:color w:val="525556"/>
          <w:sz w:val="20"/>
          <w:szCs w:val="20"/>
          <w:lang w:val="en-GB"/>
        </w:rPr>
        <w:br/>
        <w:t>www.regiodata.eu</w:t>
      </w:r>
    </w:p>
    <w:p w14:paraId="6C80D9C1" w14:textId="77777777" w:rsidR="0003725A" w:rsidRPr="00156F82" w:rsidRDefault="0003725A">
      <w:pPr>
        <w:rPr>
          <w:sz w:val="24"/>
          <w:szCs w:val="24"/>
          <w:lang w:val="en-GB"/>
        </w:rPr>
      </w:pPr>
    </w:p>
    <w:p w14:paraId="49EB9681" w14:textId="77777777" w:rsidR="00A534B2" w:rsidRPr="00156F82" w:rsidRDefault="00A534B2" w:rsidP="00217817">
      <w:pPr>
        <w:spacing w:line="360" w:lineRule="auto"/>
        <w:rPr>
          <w:rFonts w:ascii="Arial" w:hAnsi="Arial" w:cs="Arial"/>
          <w:bCs/>
          <w:color w:val="009ADB"/>
          <w:spacing w:val="10"/>
          <w:sz w:val="24"/>
          <w:szCs w:val="20"/>
          <w:lang w:val="en-GB"/>
        </w:rPr>
      </w:pPr>
      <w:r w:rsidRPr="00156F82">
        <w:rPr>
          <w:rFonts w:ascii="Arial" w:hAnsi="Arial" w:cs="Arial"/>
          <w:bCs/>
          <w:color w:val="009ADB"/>
          <w:spacing w:val="10"/>
          <w:sz w:val="24"/>
          <w:szCs w:val="20"/>
          <w:lang w:val="en-GB"/>
        </w:rPr>
        <w:t>THE OTHER DIMENSION OF NUTRITION: AUSTRIANS CHANGE THEIR SPENDING BEHAVIOR</w:t>
      </w:r>
    </w:p>
    <w:p w14:paraId="5F89588B" w14:textId="77EA9D56" w:rsidR="00886C92" w:rsidRDefault="00A534B2" w:rsidP="0003725A">
      <w:pPr>
        <w:spacing w:line="360" w:lineRule="auto"/>
        <w:jc w:val="both"/>
        <w:rPr>
          <w:rFonts w:ascii="Arial" w:hAnsi="Arial" w:cs="Arial"/>
          <w:b/>
          <w:bCs/>
          <w:sz w:val="20"/>
          <w:szCs w:val="20"/>
          <w:lang w:val="en-GB"/>
        </w:rPr>
      </w:pPr>
      <w:r w:rsidRPr="00A534B2">
        <w:rPr>
          <w:rFonts w:ascii="Arial" w:hAnsi="Arial" w:cs="Arial"/>
          <w:b/>
          <w:bCs/>
          <w:sz w:val="20"/>
          <w:szCs w:val="20"/>
          <w:lang w:val="en-GB"/>
        </w:rPr>
        <w:t>The current analysis by RegioData Research reveals a significant shift in spending on nutr</w:t>
      </w:r>
      <w:r w:rsidRPr="00A534B2">
        <w:rPr>
          <w:rFonts w:ascii="Arial" w:hAnsi="Arial" w:cs="Arial"/>
          <w:b/>
          <w:bCs/>
          <w:sz w:val="20"/>
          <w:szCs w:val="20"/>
          <w:lang w:val="en-GB"/>
        </w:rPr>
        <w:t>i</w:t>
      </w:r>
      <w:r w:rsidRPr="00A534B2">
        <w:rPr>
          <w:rFonts w:ascii="Arial" w:hAnsi="Arial" w:cs="Arial"/>
          <w:b/>
          <w:bCs/>
          <w:sz w:val="20"/>
          <w:szCs w:val="20"/>
          <w:lang w:val="en-GB"/>
        </w:rPr>
        <w:t xml:space="preserve">tion: an increasing portion is directed towards the gastronomy sector instead of retail. And when it comes to retail, it's </w:t>
      </w:r>
      <w:proofErr w:type="gramStart"/>
      <w:r w:rsidRPr="00A534B2">
        <w:rPr>
          <w:rFonts w:ascii="Arial" w:hAnsi="Arial" w:cs="Arial"/>
          <w:b/>
          <w:bCs/>
          <w:sz w:val="20"/>
          <w:szCs w:val="20"/>
          <w:lang w:val="en-GB"/>
        </w:rPr>
        <w:t>either very high-end and</w:t>
      </w:r>
      <w:proofErr w:type="gramEnd"/>
      <w:r w:rsidRPr="00A534B2">
        <w:rPr>
          <w:rFonts w:ascii="Arial" w:hAnsi="Arial" w:cs="Arial"/>
          <w:b/>
          <w:bCs/>
          <w:sz w:val="20"/>
          <w:szCs w:val="20"/>
          <w:lang w:val="en-GB"/>
        </w:rPr>
        <w:t xml:space="preserve"> organic or extremely affordable.</w:t>
      </w:r>
    </w:p>
    <w:p w14:paraId="6ADE1409" w14:textId="77777777" w:rsidR="00A534B2" w:rsidRPr="00A534B2" w:rsidRDefault="00A534B2" w:rsidP="0003725A">
      <w:pPr>
        <w:spacing w:line="360" w:lineRule="auto"/>
        <w:jc w:val="both"/>
        <w:rPr>
          <w:rFonts w:ascii="Arial" w:hAnsi="Arial" w:cs="Arial"/>
          <w:b/>
          <w:bCs/>
          <w:sz w:val="20"/>
          <w:szCs w:val="20"/>
          <w:lang w:val="en-GB"/>
        </w:rPr>
      </w:pPr>
    </w:p>
    <w:p w14:paraId="3316C5CE" w14:textId="654971FE" w:rsidR="00CA5970" w:rsidRPr="00074538" w:rsidRDefault="00156F82" w:rsidP="00074538">
      <w:pPr>
        <w:spacing w:line="360" w:lineRule="auto"/>
        <w:jc w:val="both"/>
        <w:rPr>
          <w:rFonts w:ascii="Arial" w:hAnsi="Arial" w:cs="Arial"/>
          <w:bCs/>
          <w:spacing w:val="10"/>
          <w:sz w:val="24"/>
          <w:szCs w:val="20"/>
          <w:lang w:val="de-DE"/>
        </w:rPr>
      </w:pPr>
      <w:r w:rsidRPr="00156F82">
        <w:rPr>
          <w:rFonts w:ascii="Arial" w:hAnsi="Arial" w:cs="Arial"/>
          <w:bCs/>
          <w:noProof/>
          <w:spacing w:val="10"/>
          <w:sz w:val="24"/>
          <w:szCs w:val="20"/>
          <w:lang w:eastAsia="de-AT"/>
        </w:rPr>
        <w:drawing>
          <wp:inline distT="0" distB="0" distL="0" distR="0" wp14:anchorId="4DA6FA69" wp14:editId="3158A37D">
            <wp:extent cx="5760720" cy="3241706"/>
            <wp:effectExtent l="19050" t="19050" r="11430" b="158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241706"/>
                    </a:xfrm>
                    <a:prstGeom prst="rect">
                      <a:avLst/>
                    </a:prstGeom>
                    <a:ln>
                      <a:solidFill>
                        <a:schemeClr val="bg1">
                          <a:lumMod val="85000"/>
                        </a:schemeClr>
                      </a:solidFill>
                    </a:ln>
                  </pic:spPr>
                </pic:pic>
              </a:graphicData>
            </a:graphic>
          </wp:inline>
        </w:drawing>
      </w:r>
    </w:p>
    <w:p w14:paraId="0BAF4C9A" w14:textId="77777777" w:rsidR="00CA5970" w:rsidRDefault="00CA5970" w:rsidP="00CA5970">
      <w:pPr>
        <w:spacing w:after="0" w:line="360" w:lineRule="auto"/>
        <w:jc w:val="both"/>
        <w:rPr>
          <w:rFonts w:ascii="Arial" w:hAnsi="Arial" w:cs="Arial"/>
          <w:sz w:val="20"/>
          <w:szCs w:val="24"/>
        </w:rPr>
      </w:pPr>
    </w:p>
    <w:p w14:paraId="11A74072" w14:textId="66F81A18" w:rsidR="00820D5C" w:rsidRDefault="00A534B2" w:rsidP="0003725A">
      <w:pPr>
        <w:spacing w:line="360" w:lineRule="auto"/>
        <w:jc w:val="both"/>
        <w:rPr>
          <w:rFonts w:ascii="Arial" w:hAnsi="Arial" w:cs="Arial"/>
          <w:sz w:val="20"/>
          <w:szCs w:val="24"/>
          <w:lang w:val="en-GB"/>
        </w:rPr>
      </w:pPr>
      <w:r w:rsidRPr="00A534B2">
        <w:rPr>
          <w:rFonts w:ascii="Arial" w:hAnsi="Arial" w:cs="Arial"/>
          <w:sz w:val="20"/>
          <w:szCs w:val="24"/>
          <w:lang w:val="en-GB"/>
        </w:rPr>
        <w:t xml:space="preserve">While just 29% of nutrition expenses were spent on gastronomy a decade ago, the current figure has already surpassed 36%, and the trend is rapidly increasing. </w:t>
      </w:r>
      <w:proofErr w:type="gramStart"/>
      <w:r w:rsidRPr="00A534B2">
        <w:rPr>
          <w:rFonts w:ascii="Arial" w:hAnsi="Arial" w:cs="Arial"/>
          <w:sz w:val="20"/>
          <w:szCs w:val="24"/>
          <w:lang w:val="en-GB"/>
        </w:rPr>
        <w:t>The reasons likely lie in the altered co</w:t>
      </w:r>
      <w:r w:rsidRPr="00A534B2">
        <w:rPr>
          <w:rFonts w:ascii="Arial" w:hAnsi="Arial" w:cs="Arial"/>
          <w:sz w:val="20"/>
          <w:szCs w:val="24"/>
          <w:lang w:val="en-GB"/>
        </w:rPr>
        <w:t>n</w:t>
      </w:r>
      <w:r w:rsidRPr="00A534B2">
        <w:rPr>
          <w:rFonts w:ascii="Arial" w:hAnsi="Arial" w:cs="Arial"/>
          <w:sz w:val="20"/>
          <w:szCs w:val="24"/>
          <w:lang w:val="en-GB"/>
        </w:rPr>
        <w:t>sumption patterns, especially among younger demographics.</w:t>
      </w:r>
      <w:proofErr w:type="gramEnd"/>
      <w:r w:rsidRPr="00A534B2">
        <w:rPr>
          <w:rFonts w:ascii="Arial" w:hAnsi="Arial" w:cs="Arial"/>
          <w:sz w:val="20"/>
          <w:szCs w:val="24"/>
          <w:lang w:val="en-GB"/>
        </w:rPr>
        <w:t xml:space="preserve"> Visiting restaurants and eateries has gained significance in recent years, regardless of the influence of the COVID-19 pandemic.</w:t>
      </w:r>
    </w:p>
    <w:p w14:paraId="570E01C7" w14:textId="77777777" w:rsidR="00A534B2" w:rsidRPr="00A534B2" w:rsidRDefault="00A534B2" w:rsidP="0003725A">
      <w:pPr>
        <w:spacing w:line="360" w:lineRule="auto"/>
        <w:jc w:val="both"/>
        <w:rPr>
          <w:rFonts w:ascii="Arial" w:hAnsi="Arial" w:cs="Arial"/>
          <w:sz w:val="20"/>
          <w:szCs w:val="24"/>
          <w:lang w:val="en-GB"/>
        </w:rPr>
      </w:pPr>
    </w:p>
    <w:p w14:paraId="25AA46D1" w14:textId="77777777" w:rsidR="00A534B2" w:rsidRPr="00A534B2" w:rsidRDefault="00A534B2" w:rsidP="00FC2D2B">
      <w:pPr>
        <w:pStyle w:val="Quelle"/>
        <w:spacing w:before="0" w:after="0" w:line="360" w:lineRule="auto"/>
        <w:jc w:val="both"/>
        <w:rPr>
          <w:rFonts w:ascii="Arial" w:eastAsiaTheme="minorHAnsi" w:hAnsi="Arial" w:cs="Arial"/>
          <w:bCs/>
          <w:spacing w:val="10"/>
          <w:sz w:val="24"/>
          <w:lang w:val="en-GB" w:eastAsia="en-US"/>
        </w:rPr>
      </w:pPr>
      <w:r w:rsidRPr="00A534B2">
        <w:rPr>
          <w:rFonts w:ascii="Arial" w:eastAsiaTheme="minorHAnsi" w:hAnsi="Arial" w:cs="Arial"/>
          <w:bCs/>
          <w:spacing w:val="10"/>
          <w:sz w:val="24"/>
          <w:lang w:val="en-GB" w:eastAsia="en-US"/>
        </w:rPr>
        <w:lastRenderedPageBreak/>
        <w:t>Austrians are significantly increasing their expenditures on food as well</w:t>
      </w:r>
    </w:p>
    <w:p w14:paraId="26FD04FC" w14:textId="77777777" w:rsidR="00A534B2" w:rsidRPr="00A534B2" w:rsidRDefault="00A534B2" w:rsidP="00A534B2">
      <w:pPr>
        <w:pStyle w:val="Quelle"/>
        <w:spacing w:after="0" w:line="360" w:lineRule="auto"/>
        <w:jc w:val="both"/>
        <w:rPr>
          <w:rFonts w:ascii="Arial" w:eastAsiaTheme="minorHAnsi" w:hAnsi="Arial" w:cs="Arial"/>
          <w:szCs w:val="24"/>
          <w:lang w:val="en-GB" w:eastAsia="en-US"/>
        </w:rPr>
      </w:pPr>
      <w:r w:rsidRPr="00A534B2">
        <w:rPr>
          <w:rFonts w:ascii="Arial" w:eastAsiaTheme="minorHAnsi" w:hAnsi="Arial" w:cs="Arial"/>
          <w:szCs w:val="24"/>
          <w:lang w:val="en-GB" w:eastAsia="en-US"/>
        </w:rPr>
        <w:t>In the year 2022, the average Austrian had an income of around €25,000. Out of this, approximately €4,600 was allocated to nutrition, making it the highest expenditure category. When looking back a decade, around €1,400 less was spent on nutrition, representing a total increase of 44% compared to 2012. The rise in food expenses cannot be solely attributed to the general price increases imposed by food corporations. Instead, they reflect the changing preferences of consumers. People are increa</w:t>
      </w:r>
      <w:r w:rsidRPr="00A534B2">
        <w:rPr>
          <w:rFonts w:ascii="Arial" w:eastAsiaTheme="minorHAnsi" w:hAnsi="Arial" w:cs="Arial"/>
          <w:szCs w:val="24"/>
          <w:lang w:val="en-GB" w:eastAsia="en-US"/>
        </w:rPr>
        <w:t>s</w:t>
      </w:r>
      <w:r w:rsidRPr="00A534B2">
        <w:rPr>
          <w:rFonts w:ascii="Arial" w:eastAsiaTheme="minorHAnsi" w:hAnsi="Arial" w:cs="Arial"/>
          <w:szCs w:val="24"/>
          <w:lang w:val="en-GB" w:eastAsia="en-US"/>
        </w:rPr>
        <w:t>ingly prioritizing quality, organic and local products, as well as animal welfare.</w:t>
      </w:r>
    </w:p>
    <w:p w14:paraId="53B4EC38" w14:textId="77777777" w:rsidR="00A534B2" w:rsidRPr="00A534B2" w:rsidRDefault="00A534B2" w:rsidP="00A534B2">
      <w:pPr>
        <w:pStyle w:val="Quelle"/>
        <w:spacing w:after="0" w:line="360" w:lineRule="auto"/>
        <w:jc w:val="both"/>
        <w:rPr>
          <w:rFonts w:ascii="Arial" w:eastAsiaTheme="minorHAnsi" w:hAnsi="Arial" w:cs="Arial"/>
          <w:szCs w:val="24"/>
          <w:lang w:val="en-GB" w:eastAsia="en-US"/>
        </w:rPr>
      </w:pPr>
    </w:p>
    <w:p w14:paraId="61F3D38B" w14:textId="5ED714C8" w:rsidR="008A6BBD" w:rsidRDefault="00A534B2" w:rsidP="00A534B2">
      <w:pPr>
        <w:pStyle w:val="Quelle"/>
        <w:spacing w:before="0" w:after="0" w:line="360" w:lineRule="auto"/>
        <w:jc w:val="both"/>
        <w:rPr>
          <w:rFonts w:ascii="Arial" w:eastAsiaTheme="minorHAnsi" w:hAnsi="Arial" w:cs="Arial"/>
          <w:szCs w:val="24"/>
          <w:lang w:val="en-GB" w:eastAsia="en-US"/>
        </w:rPr>
      </w:pPr>
      <w:r w:rsidRPr="00A534B2">
        <w:rPr>
          <w:rFonts w:ascii="Arial" w:eastAsiaTheme="minorHAnsi" w:hAnsi="Arial" w:cs="Arial"/>
          <w:szCs w:val="24"/>
          <w:lang w:val="en-GB" w:eastAsia="en-US"/>
        </w:rPr>
        <w:t>As a result, the share of fresh, typically more expensive, organic food has already risen to 12% this year, compared to 10% in 2020 and 8% in 2018. This shift in consumption habits is clearly visible through the higher spending on food.</w:t>
      </w:r>
    </w:p>
    <w:p w14:paraId="7C4520D5" w14:textId="77777777" w:rsidR="00A534B2" w:rsidRPr="00A534B2" w:rsidRDefault="00A534B2" w:rsidP="00A534B2">
      <w:pPr>
        <w:rPr>
          <w:lang w:val="en-GB"/>
        </w:rPr>
      </w:pPr>
    </w:p>
    <w:p w14:paraId="0B5833C3" w14:textId="77777777" w:rsidR="00A534B2" w:rsidRPr="00A534B2" w:rsidRDefault="00A534B2" w:rsidP="00982C61">
      <w:pPr>
        <w:spacing w:line="360" w:lineRule="auto"/>
        <w:jc w:val="both"/>
        <w:rPr>
          <w:rFonts w:ascii="Arial" w:hAnsi="Arial" w:cs="Arial"/>
          <w:bCs/>
          <w:spacing w:val="10"/>
          <w:sz w:val="24"/>
          <w:szCs w:val="20"/>
          <w:lang w:val="en-GB"/>
        </w:rPr>
      </w:pPr>
      <w:r w:rsidRPr="00A534B2">
        <w:rPr>
          <w:rFonts w:ascii="Arial" w:hAnsi="Arial" w:cs="Arial"/>
          <w:bCs/>
          <w:spacing w:val="10"/>
          <w:sz w:val="24"/>
          <w:szCs w:val="20"/>
          <w:lang w:val="en-GB"/>
        </w:rPr>
        <w:t>Expenditures on gastronomy have nearly doubled</w:t>
      </w:r>
    </w:p>
    <w:p w14:paraId="1929A720" w14:textId="735EF8AD" w:rsidR="00A534B2" w:rsidRPr="00A534B2" w:rsidRDefault="00A534B2" w:rsidP="00A534B2">
      <w:pPr>
        <w:spacing w:after="0" w:line="360" w:lineRule="auto"/>
        <w:jc w:val="both"/>
        <w:rPr>
          <w:rFonts w:ascii="Arial" w:hAnsi="Arial" w:cs="Arial"/>
          <w:sz w:val="20"/>
          <w:szCs w:val="24"/>
          <w:lang w:val="en-GB"/>
        </w:rPr>
      </w:pPr>
      <w:r w:rsidRPr="00A534B2">
        <w:rPr>
          <w:rFonts w:ascii="Arial" w:hAnsi="Arial" w:cs="Arial"/>
          <w:sz w:val="20"/>
          <w:szCs w:val="24"/>
          <w:lang w:val="en-GB"/>
        </w:rPr>
        <w:t>The significant increases in nutrition-related spending are primarily attributable to the gastronomy se</w:t>
      </w:r>
      <w:r w:rsidRPr="00A534B2">
        <w:rPr>
          <w:rFonts w:ascii="Arial" w:hAnsi="Arial" w:cs="Arial"/>
          <w:sz w:val="20"/>
          <w:szCs w:val="24"/>
          <w:lang w:val="en-GB"/>
        </w:rPr>
        <w:t>c</w:t>
      </w:r>
      <w:r w:rsidRPr="00A534B2">
        <w:rPr>
          <w:rFonts w:ascii="Arial" w:hAnsi="Arial" w:cs="Arial"/>
          <w:sz w:val="20"/>
          <w:szCs w:val="24"/>
          <w:lang w:val="en-GB"/>
        </w:rPr>
        <w:t xml:space="preserve">tor. While the share of expenses on groceries as a part of total consumer spending has remained </w:t>
      </w:r>
      <w:r w:rsidR="00396373">
        <w:rPr>
          <w:rFonts w:ascii="Arial" w:hAnsi="Arial" w:cs="Arial"/>
          <w:sz w:val="20"/>
          <w:szCs w:val="24"/>
          <w:lang w:val="en-GB"/>
        </w:rPr>
        <w:t>a</w:t>
      </w:r>
      <w:r w:rsidR="00396373">
        <w:rPr>
          <w:rFonts w:ascii="Arial" w:hAnsi="Arial" w:cs="Arial"/>
          <w:sz w:val="20"/>
          <w:szCs w:val="24"/>
          <w:lang w:val="en-GB"/>
        </w:rPr>
        <w:t>l</w:t>
      </w:r>
      <w:r w:rsidR="00396373">
        <w:rPr>
          <w:rFonts w:ascii="Arial" w:hAnsi="Arial" w:cs="Arial"/>
          <w:sz w:val="20"/>
          <w:szCs w:val="24"/>
          <w:lang w:val="en-GB"/>
        </w:rPr>
        <w:t xml:space="preserve">most </w:t>
      </w:r>
      <w:r w:rsidRPr="00A534B2">
        <w:rPr>
          <w:rFonts w:ascii="Arial" w:hAnsi="Arial" w:cs="Arial"/>
          <w:sz w:val="20"/>
          <w:szCs w:val="24"/>
          <w:lang w:val="en-GB"/>
        </w:rPr>
        <w:t xml:space="preserve">unchanged in the past ten years, there is a clear shift in </w:t>
      </w:r>
      <w:proofErr w:type="spellStart"/>
      <w:r w:rsidRPr="00A534B2">
        <w:rPr>
          <w:rFonts w:ascii="Arial" w:hAnsi="Arial" w:cs="Arial"/>
          <w:sz w:val="20"/>
          <w:szCs w:val="24"/>
          <w:lang w:val="en-GB"/>
        </w:rPr>
        <w:t>favor</w:t>
      </w:r>
      <w:proofErr w:type="spellEnd"/>
      <w:r w:rsidRPr="00A534B2">
        <w:rPr>
          <w:rFonts w:ascii="Arial" w:hAnsi="Arial" w:cs="Arial"/>
          <w:sz w:val="20"/>
          <w:szCs w:val="24"/>
          <w:lang w:val="en-GB"/>
        </w:rPr>
        <w:t xml:space="preserve"> of gastronomy. Retail spending has increased by 30% over the past decade, while the gastronomy sector has witnessed a remarkable growth of 80%.</w:t>
      </w:r>
    </w:p>
    <w:p w14:paraId="6DFD4467" w14:textId="77777777" w:rsidR="00A534B2" w:rsidRPr="00A534B2" w:rsidRDefault="00A534B2" w:rsidP="00A534B2">
      <w:pPr>
        <w:spacing w:after="0" w:line="360" w:lineRule="auto"/>
        <w:jc w:val="both"/>
        <w:rPr>
          <w:rFonts w:ascii="Arial" w:hAnsi="Arial" w:cs="Arial"/>
          <w:sz w:val="20"/>
          <w:szCs w:val="24"/>
          <w:lang w:val="en-GB"/>
        </w:rPr>
      </w:pPr>
    </w:p>
    <w:p w14:paraId="283602BB" w14:textId="77777777" w:rsidR="00A534B2" w:rsidRPr="00A534B2" w:rsidRDefault="00A534B2" w:rsidP="00A534B2">
      <w:pPr>
        <w:spacing w:after="0" w:line="360" w:lineRule="auto"/>
        <w:jc w:val="both"/>
        <w:rPr>
          <w:rFonts w:ascii="Arial" w:hAnsi="Arial" w:cs="Arial"/>
          <w:sz w:val="20"/>
          <w:szCs w:val="24"/>
          <w:lang w:val="en-GB"/>
        </w:rPr>
      </w:pPr>
      <w:r w:rsidRPr="00A534B2">
        <w:rPr>
          <w:rFonts w:ascii="Arial" w:hAnsi="Arial" w:cs="Arial"/>
          <w:sz w:val="20"/>
          <w:szCs w:val="24"/>
          <w:lang w:val="en-GB"/>
        </w:rPr>
        <w:t>Currently, the average Austrian spends approximately €1,600 per year on dining out, whereas in 2012, this figure was around €900. This underscores the growing importance of the gastronomy sector, as restaurants and eateries have evolved into essential social hubs, especially for younger d</w:t>
      </w:r>
      <w:r w:rsidRPr="00A534B2">
        <w:rPr>
          <w:rFonts w:ascii="Arial" w:hAnsi="Arial" w:cs="Arial"/>
          <w:sz w:val="20"/>
          <w:szCs w:val="24"/>
          <w:lang w:val="en-GB"/>
        </w:rPr>
        <w:t>e</w:t>
      </w:r>
      <w:r w:rsidRPr="00A534B2">
        <w:rPr>
          <w:rFonts w:ascii="Arial" w:hAnsi="Arial" w:cs="Arial"/>
          <w:sz w:val="20"/>
          <w:szCs w:val="24"/>
          <w:lang w:val="en-GB"/>
        </w:rPr>
        <w:t>mographics. They go beyond mere sustenance, promoting social interaction, cultural exchange, and community bonding.</w:t>
      </w:r>
    </w:p>
    <w:p w14:paraId="3B137535" w14:textId="77777777" w:rsidR="00A534B2" w:rsidRPr="00A534B2" w:rsidRDefault="00A534B2" w:rsidP="00A534B2">
      <w:pPr>
        <w:spacing w:after="0" w:line="360" w:lineRule="auto"/>
        <w:jc w:val="both"/>
        <w:rPr>
          <w:rFonts w:ascii="Arial" w:hAnsi="Arial" w:cs="Arial"/>
          <w:sz w:val="20"/>
          <w:szCs w:val="24"/>
          <w:lang w:val="en-GB"/>
        </w:rPr>
      </w:pPr>
    </w:p>
    <w:p w14:paraId="08E90229" w14:textId="748451B6" w:rsidR="00FB789D" w:rsidRDefault="00A534B2" w:rsidP="00A534B2">
      <w:pPr>
        <w:spacing w:after="0" w:line="360" w:lineRule="auto"/>
        <w:jc w:val="both"/>
        <w:rPr>
          <w:rFonts w:ascii="Arial" w:hAnsi="Arial" w:cs="Arial"/>
          <w:sz w:val="20"/>
          <w:szCs w:val="24"/>
          <w:lang w:val="en-GB"/>
        </w:rPr>
      </w:pPr>
      <w:r w:rsidRPr="00A534B2">
        <w:rPr>
          <w:rFonts w:ascii="Arial" w:hAnsi="Arial" w:cs="Arial"/>
          <w:sz w:val="20"/>
          <w:szCs w:val="24"/>
          <w:lang w:val="en-GB"/>
        </w:rPr>
        <w:t>Apart from the setbacks in 2020 and 2021 due to the COVID-19 pandemic, the gastronomy sector has maintained a consistent growth trend of 5 to 7% over the past decade, surpassing the inflation rate during this period.</w:t>
      </w:r>
    </w:p>
    <w:p w14:paraId="1D76F744" w14:textId="77777777" w:rsidR="00396373" w:rsidRPr="00A534B2" w:rsidRDefault="00396373" w:rsidP="00A534B2">
      <w:pPr>
        <w:spacing w:after="0" w:line="360" w:lineRule="auto"/>
        <w:jc w:val="both"/>
        <w:rPr>
          <w:rFonts w:ascii="Arial" w:hAnsi="Arial" w:cs="Arial"/>
          <w:sz w:val="20"/>
          <w:szCs w:val="24"/>
          <w:lang w:val="en-GB"/>
        </w:rPr>
      </w:pPr>
    </w:p>
    <w:p w14:paraId="3E44E993" w14:textId="6E52221B" w:rsidR="00396373" w:rsidRPr="00396373" w:rsidRDefault="008A7912" w:rsidP="00234C9B">
      <w:pPr>
        <w:spacing w:line="360" w:lineRule="auto"/>
        <w:jc w:val="both"/>
        <w:rPr>
          <w:rFonts w:ascii="Arial" w:hAnsi="Arial" w:cs="Arial"/>
          <w:bCs/>
          <w:spacing w:val="10"/>
          <w:sz w:val="24"/>
          <w:szCs w:val="20"/>
          <w:lang w:val="en-GB"/>
        </w:rPr>
      </w:pPr>
      <w:r>
        <w:rPr>
          <w:rFonts w:ascii="Arial" w:hAnsi="Arial" w:cs="Arial"/>
          <w:bCs/>
          <w:spacing w:val="10"/>
          <w:sz w:val="24"/>
          <w:szCs w:val="20"/>
          <w:lang w:val="en-GB"/>
        </w:rPr>
        <w:t>Burgeoning gastronomy s</w:t>
      </w:r>
      <w:r w:rsidR="00396373" w:rsidRPr="00396373">
        <w:rPr>
          <w:rFonts w:ascii="Arial" w:hAnsi="Arial" w:cs="Arial"/>
          <w:bCs/>
          <w:spacing w:val="10"/>
          <w:sz w:val="24"/>
          <w:szCs w:val="20"/>
          <w:lang w:val="en-GB"/>
        </w:rPr>
        <w:t>cene in Europe</w:t>
      </w:r>
    </w:p>
    <w:p w14:paraId="58FA7C9F" w14:textId="29779248" w:rsidR="00396373" w:rsidRPr="00396373" w:rsidRDefault="00396373" w:rsidP="00396373">
      <w:pPr>
        <w:spacing w:line="360" w:lineRule="auto"/>
        <w:jc w:val="both"/>
        <w:rPr>
          <w:rFonts w:ascii="Arial" w:hAnsi="Arial" w:cs="Arial"/>
          <w:sz w:val="20"/>
          <w:szCs w:val="24"/>
          <w:lang w:val="en-GB"/>
        </w:rPr>
      </w:pPr>
      <w:r w:rsidRPr="00396373">
        <w:rPr>
          <w:rFonts w:ascii="Arial" w:hAnsi="Arial" w:cs="Arial"/>
          <w:sz w:val="20"/>
          <w:szCs w:val="24"/>
          <w:lang w:val="en-GB"/>
        </w:rPr>
        <w:t xml:space="preserve">The trend of dining out is not limited to Austria alone. A significant increase in gastronomy spending is also observed in other European countries. For example, in the Czech Republic, there has been a 100% increase in gastronomy spending compared to 2017. However, the average dining expenses in the Czech Republic stand at only about €600 per person per year, which is still </w:t>
      </w:r>
      <w:proofErr w:type="gramStart"/>
      <w:r w:rsidRPr="00396373">
        <w:rPr>
          <w:rFonts w:ascii="Arial" w:hAnsi="Arial" w:cs="Arial"/>
          <w:sz w:val="20"/>
          <w:szCs w:val="24"/>
          <w:lang w:val="en-GB"/>
        </w:rPr>
        <w:t>considerab</w:t>
      </w:r>
      <w:bookmarkStart w:id="0" w:name="_GoBack"/>
      <w:bookmarkEnd w:id="0"/>
      <w:r w:rsidRPr="00396373">
        <w:rPr>
          <w:rFonts w:ascii="Arial" w:hAnsi="Arial" w:cs="Arial"/>
          <w:sz w:val="20"/>
          <w:szCs w:val="24"/>
          <w:lang w:val="en-GB"/>
        </w:rPr>
        <w:t>ly</w:t>
      </w:r>
      <w:proofErr w:type="gramEnd"/>
      <w:r>
        <w:rPr>
          <w:rFonts w:ascii="Arial" w:hAnsi="Arial" w:cs="Arial"/>
          <w:sz w:val="20"/>
          <w:szCs w:val="24"/>
          <w:lang w:val="en-GB"/>
        </w:rPr>
        <w:t xml:space="preserve"> lower than the Austrian level.</w:t>
      </w:r>
    </w:p>
    <w:p w14:paraId="396D02D2" w14:textId="183164B5" w:rsidR="00396373" w:rsidRPr="00396373" w:rsidRDefault="00396373" w:rsidP="00396373">
      <w:pPr>
        <w:spacing w:line="360" w:lineRule="auto"/>
        <w:jc w:val="both"/>
        <w:rPr>
          <w:rFonts w:ascii="Arial" w:hAnsi="Arial" w:cs="Arial"/>
          <w:sz w:val="20"/>
          <w:szCs w:val="24"/>
          <w:lang w:val="en-GB"/>
        </w:rPr>
      </w:pPr>
      <w:r w:rsidRPr="00396373">
        <w:rPr>
          <w:rFonts w:ascii="Arial" w:hAnsi="Arial" w:cs="Arial"/>
          <w:sz w:val="20"/>
          <w:szCs w:val="24"/>
          <w:lang w:val="en-GB"/>
        </w:rPr>
        <w:t>On the other hand, dining out is relatively less common outside one's own home, particularly in the Balkans. In countries like Serbia, Romania, and Bosnia and Herzegovina, gastronomy expenses are as low as €90 to €125 per person. However, since 2017, the share of gastronomy expenses has i</w:t>
      </w:r>
      <w:r w:rsidRPr="00396373">
        <w:rPr>
          <w:rFonts w:ascii="Arial" w:hAnsi="Arial" w:cs="Arial"/>
          <w:sz w:val="20"/>
          <w:szCs w:val="24"/>
          <w:lang w:val="en-GB"/>
        </w:rPr>
        <w:t>n</w:t>
      </w:r>
      <w:r w:rsidRPr="00396373">
        <w:rPr>
          <w:rFonts w:ascii="Arial" w:hAnsi="Arial" w:cs="Arial"/>
          <w:sz w:val="20"/>
          <w:szCs w:val="24"/>
          <w:lang w:val="en-GB"/>
        </w:rPr>
        <w:lastRenderedPageBreak/>
        <w:t>creased by 60% to 70% in these countries, with Romania experiencing an impressive 144% rise. In Croatia, out-of-home dining has increased by around 127% over the past five years and curren</w:t>
      </w:r>
      <w:r>
        <w:rPr>
          <w:rFonts w:ascii="Arial" w:hAnsi="Arial" w:cs="Arial"/>
          <w:sz w:val="20"/>
          <w:szCs w:val="24"/>
          <w:lang w:val="en-GB"/>
        </w:rPr>
        <w:t>tly amounts to €281 per person.</w:t>
      </w:r>
    </w:p>
    <w:p w14:paraId="1EAFD0EB" w14:textId="75D39913" w:rsidR="00396373" w:rsidRPr="00396373" w:rsidRDefault="00396373" w:rsidP="00396373">
      <w:pPr>
        <w:spacing w:line="360" w:lineRule="auto"/>
        <w:jc w:val="both"/>
        <w:rPr>
          <w:rFonts w:ascii="Arial" w:hAnsi="Arial" w:cs="Arial"/>
          <w:sz w:val="20"/>
          <w:szCs w:val="24"/>
          <w:lang w:val="en-GB"/>
        </w:rPr>
      </w:pPr>
      <w:r w:rsidRPr="00396373">
        <w:rPr>
          <w:rFonts w:ascii="Arial" w:hAnsi="Arial" w:cs="Arial"/>
          <w:sz w:val="20"/>
          <w:szCs w:val="24"/>
          <w:lang w:val="en-GB"/>
        </w:rPr>
        <w:t>Slovenia currently records expenses of nearly €700, which is a significant increase compared to 2017 when the average Slovenian spent about €450 on dining outside. Italy, with approximately €1,100 per person, has notably higher gastronomy expenses, attributed to its rich Italian culinary culture and deepl</w:t>
      </w:r>
      <w:r>
        <w:rPr>
          <w:rFonts w:ascii="Arial" w:hAnsi="Arial" w:cs="Arial"/>
          <w:sz w:val="20"/>
          <w:szCs w:val="24"/>
          <w:lang w:val="en-GB"/>
        </w:rPr>
        <w:t>y rooted gastronomic diversity.</w:t>
      </w:r>
    </w:p>
    <w:p w14:paraId="158EAB31" w14:textId="59EE9751" w:rsidR="001A065C" w:rsidRPr="00396373" w:rsidRDefault="00396373" w:rsidP="00396373">
      <w:pPr>
        <w:spacing w:line="360" w:lineRule="auto"/>
        <w:jc w:val="both"/>
        <w:rPr>
          <w:rFonts w:ascii="Arial" w:hAnsi="Arial" w:cs="Arial"/>
          <w:i/>
          <w:sz w:val="20"/>
          <w:szCs w:val="20"/>
          <w:lang w:val="en-GB"/>
        </w:rPr>
      </w:pPr>
      <w:r w:rsidRPr="00396373">
        <w:rPr>
          <w:rFonts w:ascii="Arial" w:hAnsi="Arial" w:cs="Arial"/>
          <w:sz w:val="20"/>
          <w:szCs w:val="24"/>
          <w:lang w:val="en-GB"/>
        </w:rPr>
        <w:t>While gastronomy expenses naturally correlate with purchasing power, there are significant deviations that confirm many stereotypes. High proportions of spending in Italy and France are contrasted by much lower expenditures in the UK, the Balkans, and Switzerland.</w:t>
      </w:r>
    </w:p>
    <w:p w14:paraId="1D4A3033" w14:textId="77777777" w:rsidR="001A065C" w:rsidRPr="00396373" w:rsidRDefault="001A065C" w:rsidP="001A065C">
      <w:pPr>
        <w:rPr>
          <w:rFonts w:ascii="Arial" w:hAnsi="Arial" w:cs="Arial"/>
          <w:i/>
          <w:sz w:val="20"/>
          <w:szCs w:val="20"/>
          <w:lang w:val="en-GB"/>
        </w:rPr>
      </w:pPr>
    </w:p>
    <w:p w14:paraId="4227CD40" w14:textId="77777777" w:rsidR="001A065C" w:rsidRPr="00396373" w:rsidRDefault="001A065C" w:rsidP="001A065C">
      <w:pPr>
        <w:rPr>
          <w:rFonts w:ascii="Arial" w:hAnsi="Arial" w:cs="Arial"/>
          <w:i/>
          <w:sz w:val="20"/>
          <w:szCs w:val="20"/>
          <w:lang w:val="en-GB"/>
        </w:rPr>
      </w:pPr>
    </w:p>
    <w:p w14:paraId="0BF9D6FC" w14:textId="77777777" w:rsidR="00505498" w:rsidRPr="00396373" w:rsidRDefault="00505498" w:rsidP="00505498">
      <w:pPr>
        <w:rPr>
          <w:rFonts w:ascii="Arial" w:hAnsi="Arial" w:cs="Arial"/>
          <w:i/>
          <w:sz w:val="20"/>
          <w:szCs w:val="20"/>
          <w:lang w:val="en-GB"/>
        </w:rPr>
      </w:pPr>
    </w:p>
    <w:p w14:paraId="0AB94702" w14:textId="77777777" w:rsidR="00963520" w:rsidRPr="00396373" w:rsidRDefault="00963520" w:rsidP="001F4744">
      <w:pPr>
        <w:jc w:val="center"/>
        <w:rPr>
          <w:rFonts w:ascii="Arial" w:hAnsi="Arial" w:cs="Arial"/>
          <w:i/>
          <w:sz w:val="20"/>
          <w:szCs w:val="20"/>
          <w:lang w:val="en-GB"/>
        </w:rPr>
      </w:pPr>
    </w:p>
    <w:p w14:paraId="00E5D9D1" w14:textId="77777777" w:rsidR="006A72B5" w:rsidRPr="00396373" w:rsidRDefault="006A72B5" w:rsidP="001F4744">
      <w:pPr>
        <w:jc w:val="center"/>
        <w:rPr>
          <w:rFonts w:ascii="Arial" w:hAnsi="Arial" w:cs="Arial"/>
          <w:i/>
          <w:sz w:val="20"/>
          <w:szCs w:val="20"/>
          <w:lang w:val="en-GB"/>
        </w:rPr>
      </w:pPr>
    </w:p>
    <w:p w14:paraId="0CE1E259" w14:textId="77777777" w:rsidR="006A72B5" w:rsidRPr="00396373" w:rsidRDefault="006A72B5" w:rsidP="001F4744">
      <w:pPr>
        <w:jc w:val="center"/>
        <w:rPr>
          <w:rFonts w:ascii="Arial" w:hAnsi="Arial" w:cs="Arial"/>
          <w:i/>
          <w:sz w:val="20"/>
          <w:szCs w:val="20"/>
          <w:lang w:val="en-GB"/>
        </w:rPr>
      </w:pPr>
    </w:p>
    <w:p w14:paraId="50B52562" w14:textId="77777777" w:rsidR="00012EC2" w:rsidRPr="00396373" w:rsidRDefault="00012EC2" w:rsidP="00CF2946">
      <w:pPr>
        <w:rPr>
          <w:rFonts w:ascii="Arial" w:hAnsi="Arial" w:cs="Arial"/>
          <w:i/>
          <w:sz w:val="20"/>
          <w:szCs w:val="20"/>
          <w:lang w:val="en-GB"/>
        </w:rPr>
      </w:pPr>
    </w:p>
    <w:p w14:paraId="5067F6A8" w14:textId="77777777" w:rsidR="00012EC2" w:rsidRPr="00396373" w:rsidRDefault="00012EC2" w:rsidP="001F4744">
      <w:pPr>
        <w:jc w:val="center"/>
        <w:rPr>
          <w:rFonts w:ascii="Arial" w:hAnsi="Arial" w:cs="Arial"/>
          <w:i/>
          <w:sz w:val="20"/>
          <w:szCs w:val="20"/>
          <w:lang w:val="en-GB"/>
        </w:rPr>
      </w:pPr>
    </w:p>
    <w:p w14:paraId="77E827C2" w14:textId="77777777" w:rsidR="00396373" w:rsidRPr="00396373" w:rsidRDefault="00396373" w:rsidP="001F4744">
      <w:pPr>
        <w:jc w:val="center"/>
        <w:rPr>
          <w:rFonts w:ascii="Arial" w:hAnsi="Arial" w:cs="Arial"/>
          <w:i/>
          <w:sz w:val="20"/>
          <w:szCs w:val="20"/>
          <w:lang w:val="en-GB"/>
        </w:rPr>
      </w:pPr>
    </w:p>
    <w:p w14:paraId="3F6E694B" w14:textId="77777777" w:rsidR="00963520" w:rsidRPr="00396373" w:rsidRDefault="00963520" w:rsidP="001F4744">
      <w:pPr>
        <w:jc w:val="center"/>
        <w:rPr>
          <w:rFonts w:ascii="Arial" w:hAnsi="Arial" w:cs="Arial"/>
          <w:i/>
          <w:sz w:val="20"/>
          <w:szCs w:val="20"/>
          <w:lang w:val="en-GB"/>
        </w:rPr>
      </w:pPr>
    </w:p>
    <w:p w14:paraId="09CA290F" w14:textId="77777777" w:rsidR="00A8581D" w:rsidRPr="00396373" w:rsidRDefault="00A8581D" w:rsidP="001F4744">
      <w:pPr>
        <w:jc w:val="center"/>
        <w:rPr>
          <w:rFonts w:ascii="Arial" w:hAnsi="Arial" w:cs="Arial"/>
          <w:i/>
          <w:sz w:val="20"/>
          <w:szCs w:val="20"/>
          <w:lang w:val="en-GB"/>
        </w:rPr>
      </w:pPr>
    </w:p>
    <w:p w14:paraId="1448FF94" w14:textId="77777777" w:rsidR="00396373" w:rsidRPr="00A0162D" w:rsidRDefault="00396373" w:rsidP="00396373">
      <w:pPr>
        <w:spacing w:line="360" w:lineRule="auto"/>
        <w:jc w:val="both"/>
        <w:rPr>
          <w:rFonts w:ascii="Arial" w:hAnsi="Arial" w:cs="Arial"/>
          <w:sz w:val="20"/>
          <w:szCs w:val="24"/>
          <w:lang w:val="en-GB"/>
        </w:rPr>
      </w:pPr>
    </w:p>
    <w:p w14:paraId="4F81988C" w14:textId="77777777" w:rsidR="00396373" w:rsidRPr="0091677B" w:rsidRDefault="00396373" w:rsidP="00396373">
      <w:pPr>
        <w:spacing w:line="240" w:lineRule="auto"/>
        <w:jc w:val="center"/>
        <w:rPr>
          <w:rFonts w:ascii="Arial" w:hAnsi="Arial" w:cs="Arial"/>
          <w:i/>
          <w:sz w:val="20"/>
          <w:szCs w:val="20"/>
          <w:lang w:val="en-GB"/>
        </w:rPr>
      </w:pPr>
      <w:r w:rsidRPr="00FA01AB">
        <w:rPr>
          <w:rFonts w:ascii="Arial" w:hAnsi="Arial" w:cs="Arial"/>
          <w:i/>
          <w:sz w:val="20"/>
          <w:szCs w:val="20"/>
          <w:lang w:val="en-GB"/>
        </w:rPr>
        <w:t>The study "</w:t>
      </w:r>
      <w:r>
        <w:rPr>
          <w:rFonts w:ascii="Arial" w:hAnsi="Arial" w:cs="Arial"/>
          <w:b/>
          <w:i/>
          <w:sz w:val="20"/>
          <w:szCs w:val="20"/>
          <w:lang w:val="en-GB"/>
        </w:rPr>
        <w:t xml:space="preserve">Consumer </w:t>
      </w:r>
      <w:proofErr w:type="spellStart"/>
      <w:r>
        <w:rPr>
          <w:rFonts w:ascii="Arial" w:hAnsi="Arial" w:cs="Arial"/>
          <w:b/>
          <w:i/>
          <w:sz w:val="20"/>
          <w:szCs w:val="20"/>
          <w:lang w:val="en-GB"/>
        </w:rPr>
        <w:t>Spendings</w:t>
      </w:r>
      <w:proofErr w:type="spellEnd"/>
      <w:r>
        <w:rPr>
          <w:rFonts w:ascii="Arial" w:hAnsi="Arial" w:cs="Arial"/>
          <w:b/>
          <w:i/>
          <w:sz w:val="20"/>
          <w:szCs w:val="20"/>
          <w:lang w:val="en-GB"/>
        </w:rPr>
        <w:t xml:space="preserve"> – Edition 2023”</w:t>
      </w:r>
      <w:r w:rsidRPr="00FA01AB">
        <w:rPr>
          <w:rFonts w:ascii="Arial" w:hAnsi="Arial" w:cs="Arial"/>
          <w:i/>
          <w:sz w:val="20"/>
          <w:szCs w:val="20"/>
          <w:lang w:val="en-GB"/>
        </w:rPr>
        <w:t xml:space="preserve"> is currently available at RegioData for € </w:t>
      </w:r>
      <w:r>
        <w:rPr>
          <w:rFonts w:ascii="Arial" w:hAnsi="Arial" w:cs="Arial"/>
          <w:i/>
          <w:sz w:val="20"/>
          <w:szCs w:val="20"/>
          <w:lang w:val="en-GB"/>
        </w:rPr>
        <w:t xml:space="preserve">490 </w:t>
      </w:r>
      <w:r w:rsidRPr="00FA01AB">
        <w:rPr>
          <w:rFonts w:ascii="Arial" w:hAnsi="Arial" w:cs="Arial"/>
          <w:i/>
          <w:sz w:val="20"/>
          <w:szCs w:val="20"/>
          <w:lang w:val="en-GB"/>
        </w:rPr>
        <w:t xml:space="preserve">(plus 20% VAT). </w:t>
      </w:r>
      <w:r w:rsidRPr="00AB6371">
        <w:rPr>
          <w:rFonts w:ascii="Arial" w:hAnsi="Arial" w:cs="Arial"/>
          <w:i/>
          <w:sz w:val="20"/>
          <w:szCs w:val="20"/>
          <w:lang w:val="en-GB"/>
        </w:rPr>
        <w:t xml:space="preserve">For more information, visit </w:t>
      </w:r>
      <w:hyperlink r:id="rId10" w:history="1">
        <w:r w:rsidRPr="00AB6371">
          <w:rPr>
            <w:rStyle w:val="Hyperlink"/>
            <w:rFonts w:ascii="Arial" w:hAnsi="Arial" w:cs="Arial"/>
            <w:i/>
            <w:lang w:val="en-GB"/>
          </w:rPr>
          <w:t>www.regiodata.eu</w:t>
        </w:r>
      </w:hyperlink>
    </w:p>
    <w:p w14:paraId="39C60D26" w14:textId="77777777" w:rsidR="00396373" w:rsidRPr="00F16748" w:rsidRDefault="00396373" w:rsidP="00396373">
      <w:pPr>
        <w:jc w:val="center"/>
        <w:rPr>
          <w:rFonts w:ascii="Arial" w:hAnsi="Arial" w:cs="Arial"/>
          <w:sz w:val="20"/>
          <w:szCs w:val="20"/>
        </w:rPr>
      </w:pPr>
      <w:r w:rsidRPr="00AB6371">
        <w:rPr>
          <w:rFonts w:ascii="Arial" w:hAnsi="Arial" w:cs="Arial"/>
          <w:b/>
          <w:i/>
          <w:sz w:val="20"/>
          <w:szCs w:val="20"/>
          <w:lang w:val="en-GB"/>
        </w:rPr>
        <w:t>RegioData Research GmbH</w:t>
      </w:r>
      <w:r w:rsidRPr="00072F59">
        <w:rPr>
          <w:rFonts w:ascii="Arial" w:hAnsi="Arial" w:cs="Arial"/>
          <w:i/>
          <w:sz w:val="20"/>
          <w:szCs w:val="20"/>
          <w:lang w:val="en-GB"/>
        </w:rPr>
        <w:t xml:space="preserve">, based in Vienna and Munich, is a specialist in regional economic data for Europe. We provide decision-relevant information for the retail, real estate, and finance sectors. </w:t>
      </w:r>
      <w:proofErr w:type="spellStart"/>
      <w:r w:rsidRPr="002C544E">
        <w:rPr>
          <w:rFonts w:ascii="Arial" w:hAnsi="Arial" w:cs="Arial"/>
          <w:i/>
          <w:sz w:val="20"/>
          <w:szCs w:val="20"/>
          <w:lang w:val="de-DE"/>
        </w:rPr>
        <w:t>Up</w:t>
      </w:r>
      <w:proofErr w:type="spellEnd"/>
      <w:r w:rsidRPr="002C544E">
        <w:rPr>
          <w:rFonts w:ascii="Arial" w:hAnsi="Arial" w:cs="Arial"/>
          <w:i/>
          <w:sz w:val="20"/>
          <w:szCs w:val="20"/>
          <w:lang w:val="de-DE"/>
        </w:rPr>
        <w:t>-</w:t>
      </w:r>
      <w:proofErr w:type="spellStart"/>
      <w:r w:rsidRPr="002C544E">
        <w:rPr>
          <w:rFonts w:ascii="Arial" w:hAnsi="Arial" w:cs="Arial"/>
          <w:i/>
          <w:sz w:val="20"/>
          <w:szCs w:val="20"/>
          <w:lang w:val="de-DE"/>
        </w:rPr>
        <w:t>to</w:t>
      </w:r>
      <w:proofErr w:type="spellEnd"/>
      <w:r w:rsidRPr="002C544E">
        <w:rPr>
          <w:rFonts w:ascii="Arial" w:hAnsi="Arial" w:cs="Arial"/>
          <w:i/>
          <w:sz w:val="20"/>
          <w:szCs w:val="20"/>
          <w:lang w:val="de-DE"/>
        </w:rPr>
        <w:t xml:space="preserve">-date, </w:t>
      </w:r>
      <w:proofErr w:type="spellStart"/>
      <w:r w:rsidRPr="002C544E">
        <w:rPr>
          <w:rFonts w:ascii="Arial" w:hAnsi="Arial" w:cs="Arial"/>
          <w:i/>
          <w:sz w:val="20"/>
          <w:szCs w:val="20"/>
          <w:lang w:val="de-DE"/>
        </w:rPr>
        <w:t>precise</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and</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reliable</w:t>
      </w:r>
      <w:proofErr w:type="spellEnd"/>
      <w:r w:rsidRPr="002C544E">
        <w:rPr>
          <w:rFonts w:ascii="Arial" w:hAnsi="Arial" w:cs="Arial"/>
          <w:i/>
          <w:sz w:val="20"/>
          <w:szCs w:val="20"/>
          <w:lang w:val="de-DE"/>
        </w:rPr>
        <w:t>.</w:t>
      </w:r>
    </w:p>
    <w:p w14:paraId="7DF33FEB" w14:textId="77777777" w:rsidR="00396373" w:rsidRDefault="00396373" w:rsidP="00396373"/>
    <w:p w14:paraId="2C86E7EC" w14:textId="43A10BA8" w:rsidR="00AD52CE" w:rsidRPr="003D1F9F" w:rsidRDefault="00AD52CE" w:rsidP="00396373">
      <w:pPr>
        <w:spacing w:line="240" w:lineRule="auto"/>
        <w:jc w:val="center"/>
        <w:rPr>
          <w:rFonts w:cs="Tahoma"/>
          <w:sz w:val="20"/>
          <w:lang w:eastAsia="de-DE"/>
        </w:rPr>
      </w:pPr>
    </w:p>
    <w:sectPr w:rsidR="00AD52CE" w:rsidRPr="003D1F9F">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7DAAB" w14:textId="77777777" w:rsidR="002775D9" w:rsidRDefault="002775D9" w:rsidP="0003725A">
      <w:pPr>
        <w:spacing w:after="0" w:line="240" w:lineRule="auto"/>
      </w:pPr>
      <w:r>
        <w:separator/>
      </w:r>
    </w:p>
  </w:endnote>
  <w:endnote w:type="continuationSeparator" w:id="0">
    <w:p w14:paraId="2FDF95F2" w14:textId="77777777" w:rsidR="002775D9" w:rsidRDefault="002775D9" w:rsidP="0003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35B24" w14:textId="77777777" w:rsidR="002775D9" w:rsidRDefault="002775D9" w:rsidP="0003725A">
      <w:pPr>
        <w:spacing w:after="0" w:line="240" w:lineRule="auto"/>
      </w:pPr>
      <w:r>
        <w:separator/>
      </w:r>
    </w:p>
  </w:footnote>
  <w:footnote w:type="continuationSeparator" w:id="0">
    <w:p w14:paraId="278452BE" w14:textId="77777777" w:rsidR="002775D9" w:rsidRDefault="002775D9" w:rsidP="00037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062E2" w14:textId="77777777" w:rsidR="00CA29F0" w:rsidRDefault="00CA29F0" w:rsidP="0003725A">
    <w:pPr>
      <w:pStyle w:val="Kopfzeile"/>
      <w:tabs>
        <w:tab w:val="left" w:pos="6960"/>
      </w:tabs>
    </w:pPr>
    <w:r w:rsidRPr="00492D78">
      <w:rPr>
        <w:noProof/>
        <w:color w:val="525556"/>
        <w:lang w:eastAsia="de-AT"/>
      </w:rPr>
      <mc:AlternateContent>
        <mc:Choice Requires="wps">
          <w:drawing>
            <wp:anchor distT="0" distB="0" distL="114300" distR="114300" simplePos="0" relativeHeight="251661312" behindDoc="0" locked="0" layoutInCell="1" allowOverlap="1" wp14:anchorId="0F8D9E07" wp14:editId="46F43A2D">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E81D6A"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" strokecolor="#525556"/>
          </w:pict>
        </mc:Fallback>
      </mc:AlternateContent>
    </w:r>
    <w:r>
      <w:rPr>
        <w:noProof/>
        <w:lang w:eastAsia="de-AT"/>
      </w:rPr>
      <mc:AlternateContent>
        <mc:Choice Requires="wps">
          <w:drawing>
            <wp:anchor distT="0" distB="0" distL="114300" distR="114300" simplePos="0" relativeHeight="251660288" behindDoc="0" locked="0" layoutInCell="1" allowOverlap="1" wp14:anchorId="22689CB4" wp14:editId="22505C64">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C713" w14:textId="222D7AEA" w:rsidR="00CA29F0" w:rsidRPr="001920CC" w:rsidRDefault="001920CC" w:rsidP="0003725A">
                          <w:pPr>
                            <w:rPr>
                              <w:rFonts w:ascii="Arial" w:hAnsi="Arial" w:cs="Arial"/>
                              <w:color w:val="525556"/>
                              <w:spacing w:val="60"/>
                              <w:sz w:val="24"/>
                              <w:lang w:val="de-DE"/>
                            </w:rPr>
                          </w:pPr>
                          <w:r>
                            <w:rPr>
                              <w:rFonts w:ascii="Arial" w:hAnsi="Arial" w:cs="Arial"/>
                              <w:color w:val="525556"/>
                              <w:spacing w:val="60"/>
                              <w:sz w:val="24"/>
                              <w:lang w:val="de-DE"/>
                            </w:rPr>
                            <w:t>PRESS RELEASE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14:paraId="684BC713" w14:textId="222D7AEA" w:rsidR="00CA29F0" w:rsidRPr="001920CC" w:rsidRDefault="001920CC" w:rsidP="0003725A">
                    <w:pPr>
                      <w:rPr>
                        <w:rFonts w:ascii="Arial" w:hAnsi="Arial" w:cs="Arial"/>
                        <w:color w:val="525556"/>
                        <w:spacing w:val="60"/>
                        <w:sz w:val="24"/>
                        <w:lang w:val="de-DE"/>
                      </w:rPr>
                    </w:pPr>
                    <w:r>
                      <w:rPr>
                        <w:rFonts w:ascii="Arial" w:hAnsi="Arial" w:cs="Arial"/>
                        <w:color w:val="525556"/>
                        <w:spacing w:val="60"/>
                        <w:sz w:val="24"/>
                        <w:lang w:val="de-DE"/>
                      </w:rPr>
                      <w:t>PRESS RELEASE</w:t>
                    </w:r>
                  </w:p>
                </w:txbxContent>
              </v:textbox>
            </v:shape>
          </w:pict>
        </mc:Fallback>
      </mc:AlternateContent>
    </w:r>
    <w:r>
      <w:rPr>
        <w:noProof/>
        <w:lang w:eastAsia="de-AT"/>
      </w:rPr>
      <w:drawing>
        <wp:anchor distT="0" distB="0" distL="114300" distR="114300" simplePos="0" relativeHeight="251659264" behindDoc="1" locked="0" layoutInCell="1" allowOverlap="1" wp14:anchorId="7FF5283D" wp14:editId="7B15AA09">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14:paraId="590E34A4" w14:textId="77777777" w:rsidR="00CA29F0" w:rsidRDefault="00CA29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F7"/>
    <w:rsid w:val="000035A5"/>
    <w:rsid w:val="00004A31"/>
    <w:rsid w:val="00012EC2"/>
    <w:rsid w:val="0003725A"/>
    <w:rsid w:val="00041588"/>
    <w:rsid w:val="00042521"/>
    <w:rsid w:val="00043C76"/>
    <w:rsid w:val="00047098"/>
    <w:rsid w:val="000557A3"/>
    <w:rsid w:val="00063E2F"/>
    <w:rsid w:val="00070AC2"/>
    <w:rsid w:val="00074538"/>
    <w:rsid w:val="000A1B7C"/>
    <w:rsid w:val="000B68B2"/>
    <w:rsid w:val="000D0355"/>
    <w:rsid w:val="000D3ECA"/>
    <w:rsid w:val="000D4F83"/>
    <w:rsid w:val="000E0218"/>
    <w:rsid w:val="000E1A3E"/>
    <w:rsid w:val="000F1879"/>
    <w:rsid w:val="000F3610"/>
    <w:rsid w:val="00101F01"/>
    <w:rsid w:val="00102D1C"/>
    <w:rsid w:val="00107318"/>
    <w:rsid w:val="00126A76"/>
    <w:rsid w:val="00127DA7"/>
    <w:rsid w:val="00136602"/>
    <w:rsid w:val="00142BFD"/>
    <w:rsid w:val="001448EC"/>
    <w:rsid w:val="00144DFB"/>
    <w:rsid w:val="001472C6"/>
    <w:rsid w:val="00156F82"/>
    <w:rsid w:val="001704D9"/>
    <w:rsid w:val="001707A8"/>
    <w:rsid w:val="00185C09"/>
    <w:rsid w:val="001920CC"/>
    <w:rsid w:val="001A065C"/>
    <w:rsid w:val="001A46DE"/>
    <w:rsid w:val="001A56AC"/>
    <w:rsid w:val="001B2E2D"/>
    <w:rsid w:val="001B4CC3"/>
    <w:rsid w:val="001C5EDC"/>
    <w:rsid w:val="001C6ED8"/>
    <w:rsid w:val="001E5906"/>
    <w:rsid w:val="001F4744"/>
    <w:rsid w:val="00216782"/>
    <w:rsid w:val="00217817"/>
    <w:rsid w:val="00231856"/>
    <w:rsid w:val="002348AB"/>
    <w:rsid w:val="00234C9B"/>
    <w:rsid w:val="002350BE"/>
    <w:rsid w:val="0024313E"/>
    <w:rsid w:val="002447AA"/>
    <w:rsid w:val="002470E0"/>
    <w:rsid w:val="002658DD"/>
    <w:rsid w:val="00265A89"/>
    <w:rsid w:val="00271921"/>
    <w:rsid w:val="002775D9"/>
    <w:rsid w:val="002814B1"/>
    <w:rsid w:val="00285686"/>
    <w:rsid w:val="00287054"/>
    <w:rsid w:val="00291CA4"/>
    <w:rsid w:val="002A7F6C"/>
    <w:rsid w:val="002C1B70"/>
    <w:rsid w:val="002C3FAB"/>
    <w:rsid w:val="002C657A"/>
    <w:rsid w:val="00306428"/>
    <w:rsid w:val="003141A2"/>
    <w:rsid w:val="003178C0"/>
    <w:rsid w:val="00347156"/>
    <w:rsid w:val="00354C8D"/>
    <w:rsid w:val="00357B8D"/>
    <w:rsid w:val="003620B6"/>
    <w:rsid w:val="00373EFE"/>
    <w:rsid w:val="003849B2"/>
    <w:rsid w:val="00396373"/>
    <w:rsid w:val="003C03ED"/>
    <w:rsid w:val="003C09F6"/>
    <w:rsid w:val="003D109F"/>
    <w:rsid w:val="003D16E1"/>
    <w:rsid w:val="003D414C"/>
    <w:rsid w:val="003E3C0F"/>
    <w:rsid w:val="003E60F2"/>
    <w:rsid w:val="003E622E"/>
    <w:rsid w:val="003E750D"/>
    <w:rsid w:val="0040208E"/>
    <w:rsid w:val="0041248D"/>
    <w:rsid w:val="00413C73"/>
    <w:rsid w:val="004205D6"/>
    <w:rsid w:val="004264CE"/>
    <w:rsid w:val="00433B6C"/>
    <w:rsid w:val="00442845"/>
    <w:rsid w:val="0044683A"/>
    <w:rsid w:val="00450E4B"/>
    <w:rsid w:val="00454B21"/>
    <w:rsid w:val="00456A9C"/>
    <w:rsid w:val="00482B47"/>
    <w:rsid w:val="00483367"/>
    <w:rsid w:val="0049282C"/>
    <w:rsid w:val="00496C47"/>
    <w:rsid w:val="004B398D"/>
    <w:rsid w:val="004D5C5D"/>
    <w:rsid w:val="004E1E07"/>
    <w:rsid w:val="004E3ABC"/>
    <w:rsid w:val="004E72F4"/>
    <w:rsid w:val="004F775C"/>
    <w:rsid w:val="00502996"/>
    <w:rsid w:val="00505498"/>
    <w:rsid w:val="0055130A"/>
    <w:rsid w:val="005537F7"/>
    <w:rsid w:val="00554CA5"/>
    <w:rsid w:val="005A55DF"/>
    <w:rsid w:val="005A5E25"/>
    <w:rsid w:val="005B5DAC"/>
    <w:rsid w:val="005C0A50"/>
    <w:rsid w:val="005C6ACA"/>
    <w:rsid w:val="00623138"/>
    <w:rsid w:val="006300A1"/>
    <w:rsid w:val="00633DAD"/>
    <w:rsid w:val="006357D2"/>
    <w:rsid w:val="00651B40"/>
    <w:rsid w:val="00655493"/>
    <w:rsid w:val="0066676F"/>
    <w:rsid w:val="006942B9"/>
    <w:rsid w:val="006A5B41"/>
    <w:rsid w:val="006A72B5"/>
    <w:rsid w:val="006C7056"/>
    <w:rsid w:val="006D329D"/>
    <w:rsid w:val="006D5CAD"/>
    <w:rsid w:val="006D666D"/>
    <w:rsid w:val="006E20A3"/>
    <w:rsid w:val="006E67BD"/>
    <w:rsid w:val="006F1B94"/>
    <w:rsid w:val="006F3091"/>
    <w:rsid w:val="006F4CA6"/>
    <w:rsid w:val="0071708C"/>
    <w:rsid w:val="007320B8"/>
    <w:rsid w:val="00745746"/>
    <w:rsid w:val="007628AD"/>
    <w:rsid w:val="00765C11"/>
    <w:rsid w:val="00795397"/>
    <w:rsid w:val="007B177F"/>
    <w:rsid w:val="007B312E"/>
    <w:rsid w:val="007D3E4E"/>
    <w:rsid w:val="008148AA"/>
    <w:rsid w:val="00820D5C"/>
    <w:rsid w:val="008218B0"/>
    <w:rsid w:val="00823906"/>
    <w:rsid w:val="00861E89"/>
    <w:rsid w:val="00871821"/>
    <w:rsid w:val="00881C90"/>
    <w:rsid w:val="00883850"/>
    <w:rsid w:val="00886C92"/>
    <w:rsid w:val="00887E16"/>
    <w:rsid w:val="0089334C"/>
    <w:rsid w:val="008A6BBD"/>
    <w:rsid w:val="008A7912"/>
    <w:rsid w:val="008B0703"/>
    <w:rsid w:val="008B265D"/>
    <w:rsid w:val="008B4092"/>
    <w:rsid w:val="008C6753"/>
    <w:rsid w:val="008D313F"/>
    <w:rsid w:val="008D4BE8"/>
    <w:rsid w:val="008E1812"/>
    <w:rsid w:val="008E5576"/>
    <w:rsid w:val="0090576C"/>
    <w:rsid w:val="009066DF"/>
    <w:rsid w:val="0091232A"/>
    <w:rsid w:val="00915B6B"/>
    <w:rsid w:val="0091751E"/>
    <w:rsid w:val="00925A30"/>
    <w:rsid w:val="009456F6"/>
    <w:rsid w:val="0094751F"/>
    <w:rsid w:val="009548AD"/>
    <w:rsid w:val="009567B7"/>
    <w:rsid w:val="00960D76"/>
    <w:rsid w:val="00962B62"/>
    <w:rsid w:val="00963520"/>
    <w:rsid w:val="00965D33"/>
    <w:rsid w:val="00965FF4"/>
    <w:rsid w:val="00970E36"/>
    <w:rsid w:val="009719D4"/>
    <w:rsid w:val="0097759B"/>
    <w:rsid w:val="00982C61"/>
    <w:rsid w:val="0098602C"/>
    <w:rsid w:val="009B2C50"/>
    <w:rsid w:val="009B56C5"/>
    <w:rsid w:val="009B5BDB"/>
    <w:rsid w:val="009F4B0A"/>
    <w:rsid w:val="00A11107"/>
    <w:rsid w:val="00A15B18"/>
    <w:rsid w:val="00A17376"/>
    <w:rsid w:val="00A21765"/>
    <w:rsid w:val="00A36D65"/>
    <w:rsid w:val="00A47D97"/>
    <w:rsid w:val="00A52CDB"/>
    <w:rsid w:val="00A534B2"/>
    <w:rsid w:val="00A552AC"/>
    <w:rsid w:val="00A63A13"/>
    <w:rsid w:val="00A65681"/>
    <w:rsid w:val="00A8581D"/>
    <w:rsid w:val="00AA134F"/>
    <w:rsid w:val="00AB15A0"/>
    <w:rsid w:val="00AB596C"/>
    <w:rsid w:val="00AC55ED"/>
    <w:rsid w:val="00AD3BDB"/>
    <w:rsid w:val="00AD52CE"/>
    <w:rsid w:val="00B04C3F"/>
    <w:rsid w:val="00B15CBC"/>
    <w:rsid w:val="00B167EC"/>
    <w:rsid w:val="00B432A9"/>
    <w:rsid w:val="00B549D2"/>
    <w:rsid w:val="00B6415E"/>
    <w:rsid w:val="00B7084F"/>
    <w:rsid w:val="00B73774"/>
    <w:rsid w:val="00B73F9B"/>
    <w:rsid w:val="00B84322"/>
    <w:rsid w:val="00B858CB"/>
    <w:rsid w:val="00B9034E"/>
    <w:rsid w:val="00BC41C8"/>
    <w:rsid w:val="00BF71B5"/>
    <w:rsid w:val="00C04689"/>
    <w:rsid w:val="00C1317C"/>
    <w:rsid w:val="00C132B9"/>
    <w:rsid w:val="00C15C7C"/>
    <w:rsid w:val="00C35F88"/>
    <w:rsid w:val="00C5533D"/>
    <w:rsid w:val="00C64ABB"/>
    <w:rsid w:val="00C66A16"/>
    <w:rsid w:val="00C678F9"/>
    <w:rsid w:val="00C70FEF"/>
    <w:rsid w:val="00C72C4B"/>
    <w:rsid w:val="00C81733"/>
    <w:rsid w:val="00C8738F"/>
    <w:rsid w:val="00C96BDE"/>
    <w:rsid w:val="00CA17D0"/>
    <w:rsid w:val="00CA29F0"/>
    <w:rsid w:val="00CA5970"/>
    <w:rsid w:val="00CC692A"/>
    <w:rsid w:val="00CF2946"/>
    <w:rsid w:val="00CF2BBA"/>
    <w:rsid w:val="00D020A2"/>
    <w:rsid w:val="00D0251A"/>
    <w:rsid w:val="00D5072A"/>
    <w:rsid w:val="00D53EEE"/>
    <w:rsid w:val="00D56359"/>
    <w:rsid w:val="00D60434"/>
    <w:rsid w:val="00DA6349"/>
    <w:rsid w:val="00DA7DC8"/>
    <w:rsid w:val="00DB7A16"/>
    <w:rsid w:val="00DC10A3"/>
    <w:rsid w:val="00DD759C"/>
    <w:rsid w:val="00DE6F14"/>
    <w:rsid w:val="00E03894"/>
    <w:rsid w:val="00E10938"/>
    <w:rsid w:val="00E21767"/>
    <w:rsid w:val="00E23246"/>
    <w:rsid w:val="00E30902"/>
    <w:rsid w:val="00E42173"/>
    <w:rsid w:val="00E75DF7"/>
    <w:rsid w:val="00EA6D9D"/>
    <w:rsid w:val="00EC7D24"/>
    <w:rsid w:val="00ED79C7"/>
    <w:rsid w:val="00EF783A"/>
    <w:rsid w:val="00F032D5"/>
    <w:rsid w:val="00F15CA0"/>
    <w:rsid w:val="00F227CB"/>
    <w:rsid w:val="00F35516"/>
    <w:rsid w:val="00F434A2"/>
    <w:rsid w:val="00F44663"/>
    <w:rsid w:val="00F466F0"/>
    <w:rsid w:val="00F674DE"/>
    <w:rsid w:val="00F9225F"/>
    <w:rsid w:val="00FA1580"/>
    <w:rsid w:val="00FB789D"/>
    <w:rsid w:val="00FC2D2B"/>
    <w:rsid w:val="00FD5E20"/>
    <w:rsid w:val="00FE165F"/>
    <w:rsid w:val="00FE67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C0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72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25A"/>
  </w:style>
  <w:style w:type="paragraph" w:styleId="Fuzeile">
    <w:name w:val="footer"/>
    <w:basedOn w:val="Standard"/>
    <w:link w:val="FuzeileZchn"/>
    <w:uiPriority w:val="99"/>
    <w:unhideWhenUsed/>
    <w:rsid w:val="000372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25A"/>
  </w:style>
  <w:style w:type="paragraph" w:styleId="Sprechblasentext">
    <w:name w:val="Balloon Text"/>
    <w:basedOn w:val="Standard"/>
    <w:link w:val="SprechblasentextZchn"/>
    <w:uiPriority w:val="99"/>
    <w:semiHidden/>
    <w:unhideWhenUsed/>
    <w:rsid w:val="00B708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84F"/>
    <w:rPr>
      <w:rFonts w:ascii="Tahoma" w:hAnsi="Tahoma" w:cs="Tahoma"/>
      <w:sz w:val="16"/>
      <w:szCs w:val="16"/>
    </w:rPr>
  </w:style>
  <w:style w:type="paragraph" w:styleId="Textkrper">
    <w:name w:val="Body Text"/>
    <w:basedOn w:val="Standard"/>
    <w:link w:val="TextkrperZchn"/>
    <w:semiHidden/>
    <w:rsid w:val="001F4744"/>
    <w:pPr>
      <w:spacing w:before="180" w:after="0" w:line="336" w:lineRule="auto"/>
      <w:jc w:val="both"/>
    </w:pPr>
    <w:rPr>
      <w:rFonts w:ascii="Tahoma" w:eastAsia="Times New Roman" w:hAnsi="Tahoma" w:cs="Times New Roman"/>
      <w:szCs w:val="20"/>
      <w:lang w:eastAsia="de-AT"/>
    </w:rPr>
  </w:style>
  <w:style w:type="character" w:customStyle="1" w:styleId="TextkrperZchn">
    <w:name w:val="Textkörper Zchn"/>
    <w:basedOn w:val="Absatz-Standardschriftart"/>
    <w:link w:val="Textkrper"/>
    <w:semiHidden/>
    <w:rsid w:val="001F4744"/>
    <w:rPr>
      <w:rFonts w:ascii="Tahoma" w:eastAsia="Times New Roman" w:hAnsi="Tahoma" w:cs="Times New Roman"/>
      <w:szCs w:val="20"/>
      <w:lang w:eastAsia="de-AT"/>
    </w:rPr>
  </w:style>
  <w:style w:type="character" w:customStyle="1" w:styleId="berschrift1Zchn">
    <w:name w:val="Überschrift 1 Zchn"/>
    <w:basedOn w:val="Absatz-Standardschriftart"/>
    <w:link w:val="berschrift1"/>
    <w:uiPriority w:val="9"/>
    <w:rsid w:val="003C03ED"/>
    <w:rPr>
      <w:rFonts w:asciiTheme="majorHAnsi" w:eastAsiaTheme="majorEastAsia" w:hAnsiTheme="majorHAnsi" w:cstheme="majorBidi"/>
      <w:b/>
      <w:bCs/>
      <w:color w:val="365F91" w:themeColor="accent1" w:themeShade="BF"/>
      <w:sz w:val="28"/>
      <w:szCs w:val="28"/>
    </w:rPr>
  </w:style>
  <w:style w:type="paragraph" w:customStyle="1" w:styleId="Quelle">
    <w:name w:val="Quelle"/>
    <w:basedOn w:val="Standard"/>
    <w:next w:val="Standard"/>
    <w:rsid w:val="00C8738F"/>
    <w:pPr>
      <w:spacing w:before="120" w:after="120" w:line="336" w:lineRule="auto"/>
      <w:jc w:val="center"/>
    </w:pPr>
    <w:rPr>
      <w:rFonts w:ascii="Tahoma" w:eastAsia="Times New Roman" w:hAnsi="Tahoma" w:cs="Times New Roman"/>
      <w:sz w:val="20"/>
      <w:szCs w:val="20"/>
      <w:lang w:val="de-DE" w:eastAsia="de-AT"/>
    </w:rPr>
  </w:style>
  <w:style w:type="character" w:styleId="Kommentarzeichen">
    <w:name w:val="annotation reference"/>
    <w:basedOn w:val="Absatz-Standardschriftart"/>
    <w:uiPriority w:val="99"/>
    <w:semiHidden/>
    <w:unhideWhenUsed/>
    <w:rsid w:val="00505498"/>
    <w:rPr>
      <w:sz w:val="16"/>
      <w:szCs w:val="16"/>
    </w:rPr>
  </w:style>
  <w:style w:type="paragraph" w:styleId="Kommentartext">
    <w:name w:val="annotation text"/>
    <w:basedOn w:val="Standard"/>
    <w:link w:val="KommentartextZchn"/>
    <w:uiPriority w:val="99"/>
    <w:semiHidden/>
    <w:unhideWhenUsed/>
    <w:rsid w:val="005054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5498"/>
    <w:rPr>
      <w:sz w:val="20"/>
      <w:szCs w:val="20"/>
    </w:rPr>
  </w:style>
  <w:style w:type="paragraph" w:styleId="Kommentarthema">
    <w:name w:val="annotation subject"/>
    <w:basedOn w:val="Kommentartext"/>
    <w:next w:val="Kommentartext"/>
    <w:link w:val="KommentarthemaZchn"/>
    <w:uiPriority w:val="99"/>
    <w:semiHidden/>
    <w:unhideWhenUsed/>
    <w:rsid w:val="00505498"/>
    <w:rPr>
      <w:b/>
      <w:bCs/>
    </w:rPr>
  </w:style>
  <w:style w:type="character" w:customStyle="1" w:styleId="KommentarthemaZchn">
    <w:name w:val="Kommentarthema Zchn"/>
    <w:basedOn w:val="KommentartextZchn"/>
    <w:link w:val="Kommentarthema"/>
    <w:uiPriority w:val="99"/>
    <w:semiHidden/>
    <w:rsid w:val="00505498"/>
    <w:rPr>
      <w:b/>
      <w:bCs/>
      <w:sz w:val="20"/>
      <w:szCs w:val="20"/>
    </w:rPr>
  </w:style>
  <w:style w:type="paragraph" w:styleId="berarbeitung">
    <w:name w:val="Revision"/>
    <w:hidden/>
    <w:uiPriority w:val="99"/>
    <w:semiHidden/>
    <w:rsid w:val="002C3FAB"/>
    <w:pPr>
      <w:spacing w:after="0" w:line="240" w:lineRule="auto"/>
    </w:pPr>
  </w:style>
  <w:style w:type="paragraph" w:styleId="Endnotentext">
    <w:name w:val="endnote text"/>
    <w:basedOn w:val="Standard"/>
    <w:link w:val="EndnotentextZchn"/>
    <w:uiPriority w:val="99"/>
    <w:semiHidden/>
    <w:unhideWhenUsed/>
    <w:rsid w:val="0021781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17817"/>
    <w:rPr>
      <w:sz w:val="20"/>
      <w:szCs w:val="20"/>
    </w:rPr>
  </w:style>
  <w:style w:type="character" w:styleId="Endnotenzeichen">
    <w:name w:val="endnote reference"/>
    <w:basedOn w:val="Absatz-Standardschriftart"/>
    <w:uiPriority w:val="99"/>
    <w:semiHidden/>
    <w:unhideWhenUsed/>
    <w:rsid w:val="00217817"/>
    <w:rPr>
      <w:vertAlign w:val="superscript"/>
    </w:rPr>
  </w:style>
  <w:style w:type="paragraph" w:styleId="Funotentext">
    <w:name w:val="footnote text"/>
    <w:basedOn w:val="Standard"/>
    <w:link w:val="FunotentextZchn"/>
    <w:uiPriority w:val="99"/>
    <w:semiHidden/>
    <w:unhideWhenUsed/>
    <w:rsid w:val="002178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17817"/>
    <w:rPr>
      <w:sz w:val="20"/>
      <w:szCs w:val="20"/>
    </w:rPr>
  </w:style>
  <w:style w:type="character" w:styleId="Funotenzeichen">
    <w:name w:val="footnote reference"/>
    <w:basedOn w:val="Absatz-Standardschriftart"/>
    <w:uiPriority w:val="99"/>
    <w:semiHidden/>
    <w:unhideWhenUsed/>
    <w:rsid w:val="00217817"/>
    <w:rPr>
      <w:vertAlign w:val="superscript"/>
    </w:rPr>
  </w:style>
  <w:style w:type="character" w:styleId="Hyperlink">
    <w:name w:val="Hyperlink"/>
    <w:basedOn w:val="Absatz-Standardschriftart"/>
    <w:uiPriority w:val="99"/>
    <w:unhideWhenUsed/>
    <w:rsid w:val="003963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C0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72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25A"/>
  </w:style>
  <w:style w:type="paragraph" w:styleId="Fuzeile">
    <w:name w:val="footer"/>
    <w:basedOn w:val="Standard"/>
    <w:link w:val="FuzeileZchn"/>
    <w:uiPriority w:val="99"/>
    <w:unhideWhenUsed/>
    <w:rsid w:val="000372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25A"/>
  </w:style>
  <w:style w:type="paragraph" w:styleId="Sprechblasentext">
    <w:name w:val="Balloon Text"/>
    <w:basedOn w:val="Standard"/>
    <w:link w:val="SprechblasentextZchn"/>
    <w:uiPriority w:val="99"/>
    <w:semiHidden/>
    <w:unhideWhenUsed/>
    <w:rsid w:val="00B708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84F"/>
    <w:rPr>
      <w:rFonts w:ascii="Tahoma" w:hAnsi="Tahoma" w:cs="Tahoma"/>
      <w:sz w:val="16"/>
      <w:szCs w:val="16"/>
    </w:rPr>
  </w:style>
  <w:style w:type="paragraph" w:styleId="Textkrper">
    <w:name w:val="Body Text"/>
    <w:basedOn w:val="Standard"/>
    <w:link w:val="TextkrperZchn"/>
    <w:semiHidden/>
    <w:rsid w:val="001F4744"/>
    <w:pPr>
      <w:spacing w:before="180" w:after="0" w:line="336" w:lineRule="auto"/>
      <w:jc w:val="both"/>
    </w:pPr>
    <w:rPr>
      <w:rFonts w:ascii="Tahoma" w:eastAsia="Times New Roman" w:hAnsi="Tahoma" w:cs="Times New Roman"/>
      <w:szCs w:val="20"/>
      <w:lang w:eastAsia="de-AT"/>
    </w:rPr>
  </w:style>
  <w:style w:type="character" w:customStyle="1" w:styleId="TextkrperZchn">
    <w:name w:val="Textkörper Zchn"/>
    <w:basedOn w:val="Absatz-Standardschriftart"/>
    <w:link w:val="Textkrper"/>
    <w:semiHidden/>
    <w:rsid w:val="001F4744"/>
    <w:rPr>
      <w:rFonts w:ascii="Tahoma" w:eastAsia="Times New Roman" w:hAnsi="Tahoma" w:cs="Times New Roman"/>
      <w:szCs w:val="20"/>
      <w:lang w:eastAsia="de-AT"/>
    </w:rPr>
  </w:style>
  <w:style w:type="character" w:customStyle="1" w:styleId="berschrift1Zchn">
    <w:name w:val="Überschrift 1 Zchn"/>
    <w:basedOn w:val="Absatz-Standardschriftart"/>
    <w:link w:val="berschrift1"/>
    <w:uiPriority w:val="9"/>
    <w:rsid w:val="003C03ED"/>
    <w:rPr>
      <w:rFonts w:asciiTheme="majorHAnsi" w:eastAsiaTheme="majorEastAsia" w:hAnsiTheme="majorHAnsi" w:cstheme="majorBidi"/>
      <w:b/>
      <w:bCs/>
      <w:color w:val="365F91" w:themeColor="accent1" w:themeShade="BF"/>
      <w:sz w:val="28"/>
      <w:szCs w:val="28"/>
    </w:rPr>
  </w:style>
  <w:style w:type="paragraph" w:customStyle="1" w:styleId="Quelle">
    <w:name w:val="Quelle"/>
    <w:basedOn w:val="Standard"/>
    <w:next w:val="Standard"/>
    <w:rsid w:val="00C8738F"/>
    <w:pPr>
      <w:spacing w:before="120" w:after="120" w:line="336" w:lineRule="auto"/>
      <w:jc w:val="center"/>
    </w:pPr>
    <w:rPr>
      <w:rFonts w:ascii="Tahoma" w:eastAsia="Times New Roman" w:hAnsi="Tahoma" w:cs="Times New Roman"/>
      <w:sz w:val="20"/>
      <w:szCs w:val="20"/>
      <w:lang w:val="de-DE" w:eastAsia="de-AT"/>
    </w:rPr>
  </w:style>
  <w:style w:type="character" w:styleId="Kommentarzeichen">
    <w:name w:val="annotation reference"/>
    <w:basedOn w:val="Absatz-Standardschriftart"/>
    <w:uiPriority w:val="99"/>
    <w:semiHidden/>
    <w:unhideWhenUsed/>
    <w:rsid w:val="00505498"/>
    <w:rPr>
      <w:sz w:val="16"/>
      <w:szCs w:val="16"/>
    </w:rPr>
  </w:style>
  <w:style w:type="paragraph" w:styleId="Kommentartext">
    <w:name w:val="annotation text"/>
    <w:basedOn w:val="Standard"/>
    <w:link w:val="KommentartextZchn"/>
    <w:uiPriority w:val="99"/>
    <w:semiHidden/>
    <w:unhideWhenUsed/>
    <w:rsid w:val="005054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5498"/>
    <w:rPr>
      <w:sz w:val="20"/>
      <w:szCs w:val="20"/>
    </w:rPr>
  </w:style>
  <w:style w:type="paragraph" w:styleId="Kommentarthema">
    <w:name w:val="annotation subject"/>
    <w:basedOn w:val="Kommentartext"/>
    <w:next w:val="Kommentartext"/>
    <w:link w:val="KommentarthemaZchn"/>
    <w:uiPriority w:val="99"/>
    <w:semiHidden/>
    <w:unhideWhenUsed/>
    <w:rsid w:val="00505498"/>
    <w:rPr>
      <w:b/>
      <w:bCs/>
    </w:rPr>
  </w:style>
  <w:style w:type="character" w:customStyle="1" w:styleId="KommentarthemaZchn">
    <w:name w:val="Kommentarthema Zchn"/>
    <w:basedOn w:val="KommentartextZchn"/>
    <w:link w:val="Kommentarthema"/>
    <w:uiPriority w:val="99"/>
    <w:semiHidden/>
    <w:rsid w:val="00505498"/>
    <w:rPr>
      <w:b/>
      <w:bCs/>
      <w:sz w:val="20"/>
      <w:szCs w:val="20"/>
    </w:rPr>
  </w:style>
  <w:style w:type="paragraph" w:styleId="berarbeitung">
    <w:name w:val="Revision"/>
    <w:hidden/>
    <w:uiPriority w:val="99"/>
    <w:semiHidden/>
    <w:rsid w:val="002C3FAB"/>
    <w:pPr>
      <w:spacing w:after="0" w:line="240" w:lineRule="auto"/>
    </w:pPr>
  </w:style>
  <w:style w:type="paragraph" w:styleId="Endnotentext">
    <w:name w:val="endnote text"/>
    <w:basedOn w:val="Standard"/>
    <w:link w:val="EndnotentextZchn"/>
    <w:uiPriority w:val="99"/>
    <w:semiHidden/>
    <w:unhideWhenUsed/>
    <w:rsid w:val="0021781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17817"/>
    <w:rPr>
      <w:sz w:val="20"/>
      <w:szCs w:val="20"/>
    </w:rPr>
  </w:style>
  <w:style w:type="character" w:styleId="Endnotenzeichen">
    <w:name w:val="endnote reference"/>
    <w:basedOn w:val="Absatz-Standardschriftart"/>
    <w:uiPriority w:val="99"/>
    <w:semiHidden/>
    <w:unhideWhenUsed/>
    <w:rsid w:val="00217817"/>
    <w:rPr>
      <w:vertAlign w:val="superscript"/>
    </w:rPr>
  </w:style>
  <w:style w:type="paragraph" w:styleId="Funotentext">
    <w:name w:val="footnote text"/>
    <w:basedOn w:val="Standard"/>
    <w:link w:val="FunotentextZchn"/>
    <w:uiPriority w:val="99"/>
    <w:semiHidden/>
    <w:unhideWhenUsed/>
    <w:rsid w:val="002178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17817"/>
    <w:rPr>
      <w:sz w:val="20"/>
      <w:szCs w:val="20"/>
    </w:rPr>
  </w:style>
  <w:style w:type="character" w:styleId="Funotenzeichen">
    <w:name w:val="footnote reference"/>
    <w:basedOn w:val="Absatz-Standardschriftart"/>
    <w:uiPriority w:val="99"/>
    <w:semiHidden/>
    <w:unhideWhenUsed/>
    <w:rsid w:val="00217817"/>
    <w:rPr>
      <w:vertAlign w:val="superscript"/>
    </w:rPr>
  </w:style>
  <w:style w:type="character" w:styleId="Hyperlink">
    <w:name w:val="Hyperlink"/>
    <w:basedOn w:val="Absatz-Standardschriftart"/>
    <w:uiPriority w:val="99"/>
    <w:unhideWhenUsed/>
    <w:rsid w:val="00396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59354">
      <w:bodyDiv w:val="1"/>
      <w:marLeft w:val="0"/>
      <w:marRight w:val="0"/>
      <w:marTop w:val="0"/>
      <w:marBottom w:val="0"/>
      <w:divBdr>
        <w:top w:val="none" w:sz="0" w:space="0" w:color="auto"/>
        <w:left w:val="none" w:sz="0" w:space="0" w:color="auto"/>
        <w:bottom w:val="none" w:sz="0" w:space="0" w:color="auto"/>
        <w:right w:val="none" w:sz="0" w:space="0" w:color="auto"/>
      </w:divBdr>
    </w:div>
    <w:div w:id="1025902903">
      <w:bodyDiv w:val="1"/>
      <w:marLeft w:val="0"/>
      <w:marRight w:val="0"/>
      <w:marTop w:val="0"/>
      <w:marBottom w:val="0"/>
      <w:divBdr>
        <w:top w:val="none" w:sz="0" w:space="0" w:color="auto"/>
        <w:left w:val="none" w:sz="0" w:space="0" w:color="auto"/>
        <w:bottom w:val="none" w:sz="0" w:space="0" w:color="auto"/>
        <w:right w:val="none" w:sz="0" w:space="0" w:color="auto"/>
      </w:divBdr>
    </w:div>
    <w:div w:id="1141076832">
      <w:bodyDiv w:val="1"/>
      <w:marLeft w:val="0"/>
      <w:marRight w:val="0"/>
      <w:marTop w:val="0"/>
      <w:marBottom w:val="0"/>
      <w:divBdr>
        <w:top w:val="none" w:sz="0" w:space="0" w:color="auto"/>
        <w:left w:val="none" w:sz="0" w:space="0" w:color="auto"/>
        <w:bottom w:val="none" w:sz="0" w:space="0" w:color="auto"/>
        <w:right w:val="none" w:sz="0" w:space="0" w:color="auto"/>
      </w:divBdr>
    </w:div>
    <w:div w:id="1202325106">
      <w:bodyDiv w:val="1"/>
      <w:marLeft w:val="0"/>
      <w:marRight w:val="0"/>
      <w:marTop w:val="0"/>
      <w:marBottom w:val="0"/>
      <w:divBdr>
        <w:top w:val="none" w:sz="0" w:space="0" w:color="auto"/>
        <w:left w:val="none" w:sz="0" w:space="0" w:color="auto"/>
        <w:bottom w:val="none" w:sz="0" w:space="0" w:color="auto"/>
        <w:right w:val="none" w:sz="0" w:space="0" w:color="auto"/>
      </w:divBdr>
    </w:div>
    <w:div w:id="16061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lihovic@regiodata.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iodata.eu"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66DB2-9BD5-4AFA-93D1-838AE981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4302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Wolfgang Richter</dc:creator>
  <cp:lastModifiedBy>RegioData – Amela Salihovic</cp:lastModifiedBy>
  <cp:revision>26</cp:revision>
  <cp:lastPrinted>2023-05-31T11:59:00Z</cp:lastPrinted>
  <dcterms:created xsi:type="dcterms:W3CDTF">2023-11-07T11:10:00Z</dcterms:created>
  <dcterms:modified xsi:type="dcterms:W3CDTF">2023-11-08T14:55:00Z</dcterms:modified>
</cp:coreProperties>
</file>